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1"/>
        <w:ind w:left="220" w:right="51"/>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8"/>
        <w:rPr>
          <w:sz w:val="21"/>
        </w:rPr>
      </w:pPr>
    </w:p>
    <w:p>
      <w:pPr>
        <w:pStyle w:val="BodyText"/>
        <w:spacing w:before="1"/>
        <w:ind w:left="220" w:right="51"/>
      </w:pPr>
      <w:r>
        <w:rPr/>
        <w:t>NOTE: SAM is currently being reviewed and revised from the front to the back. We realize this will take a few years but with patience and fortitude it will happen. Therefore, you will see SAM Sections marked as “Reviewed” and the reviewed date in the “Revised” sections of SAM. Example: (Reviewed 9/04)</w:t>
      </w:r>
    </w:p>
    <w:p>
      <w:pPr>
        <w:pStyle w:val="BodyText"/>
        <w:rPr>
          <w:sz w:val="20"/>
        </w:rPr>
      </w:pPr>
    </w:p>
    <w:p>
      <w:pPr>
        <w:pStyle w:val="BodyText"/>
        <w:spacing w:before="6"/>
        <w:rPr>
          <w:sz w:val="25"/>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63"/>
      </w:tblGrid>
      <w:tr>
        <w:trPr>
          <w:trHeight w:val="508" w:hRule="exact"/>
        </w:trPr>
        <w:tc>
          <w:tcPr>
            <w:tcW w:w="1998" w:type="dxa"/>
            <w:tcBorders>
              <w:top w:val="nil"/>
              <w:left w:val="nil"/>
              <w:right w:val="nil"/>
            </w:tcBorders>
          </w:tcPr>
          <w:p>
            <w:pPr>
              <w:pStyle w:val="TableParagraph"/>
              <w:spacing w:line="245" w:lineRule="exact" w:before="0"/>
              <w:ind w:left="108"/>
              <w:jc w:val="left"/>
              <w:rPr>
                <w:b/>
                <w:sz w:val="22"/>
                <w:u w:val="none"/>
              </w:rPr>
            </w:pPr>
            <w:r>
              <w:rPr>
                <w:b/>
                <w:sz w:val="22"/>
                <w:u w:val="none"/>
              </w:rPr>
              <w:t>ITEM</w:t>
            </w:r>
          </w:p>
        </w:tc>
        <w:tc>
          <w:tcPr>
            <w:tcW w:w="7463" w:type="dxa"/>
            <w:tcBorders>
              <w:top w:val="nil"/>
              <w:left w:val="nil"/>
              <w:right w:val="nil"/>
            </w:tcBorders>
          </w:tcPr>
          <w:p>
            <w:pPr>
              <w:pStyle w:val="TableParagraph"/>
              <w:spacing w:line="245" w:lineRule="exact" w:before="0"/>
              <w:ind w:left="3145" w:right="3140"/>
              <w:rPr>
                <w:b/>
                <w:sz w:val="22"/>
                <w:u w:val="none"/>
              </w:rPr>
            </w:pPr>
            <w:r>
              <w:rPr>
                <w:b/>
                <w:sz w:val="22"/>
                <w:u w:val="none"/>
              </w:rPr>
              <w:t>SUMMARY</w:t>
            </w:r>
          </w:p>
        </w:tc>
      </w:tr>
      <w:tr>
        <w:trPr>
          <w:trHeight w:val="784" w:hRule="exact"/>
        </w:trPr>
        <w:tc>
          <w:tcPr>
            <w:tcW w:w="1998" w:type="dxa"/>
            <w:tcBorders>
              <w:left w:val="nil"/>
            </w:tcBorders>
          </w:tcPr>
          <w:p>
            <w:pPr>
              <w:pStyle w:val="TableParagraph"/>
              <w:spacing w:line="244" w:lineRule="auto" w:before="4"/>
              <w:ind w:left="108" w:right="520"/>
              <w:jc w:val="left"/>
              <w:rPr>
                <w:b/>
                <w:sz w:val="22"/>
                <w:u w:val="none"/>
              </w:rPr>
            </w:pPr>
            <w:r>
              <w:rPr>
                <w:b/>
                <w:sz w:val="22"/>
                <w:u w:val="none"/>
              </w:rPr>
              <w:t>Section 0030 (Revised)</w:t>
            </w:r>
          </w:p>
        </w:tc>
        <w:tc>
          <w:tcPr>
            <w:tcW w:w="7463" w:type="dxa"/>
            <w:tcBorders>
              <w:right w:val="nil"/>
            </w:tcBorders>
          </w:tcPr>
          <w:p>
            <w:pPr>
              <w:pStyle w:val="TableParagraph"/>
              <w:spacing w:before="4"/>
              <w:ind w:left="103" w:right="842"/>
              <w:jc w:val="left"/>
              <w:rPr>
                <w:sz w:val="22"/>
                <w:u w:val="none"/>
              </w:rPr>
            </w:pPr>
            <w:r>
              <w:rPr>
                <w:b/>
                <w:sz w:val="22"/>
                <w:u w:val="thick"/>
              </w:rPr>
              <w:t>SAM Publications and Contacts, </w:t>
            </w:r>
            <w:r>
              <w:rPr>
                <w:sz w:val="22"/>
                <w:u w:val="none"/>
              </w:rPr>
              <w:t>revise and update contacts and information.</w:t>
            </w:r>
          </w:p>
        </w:tc>
      </w:tr>
      <w:tr>
        <w:trPr>
          <w:trHeight w:val="784" w:hRule="exact"/>
        </w:trPr>
        <w:tc>
          <w:tcPr>
            <w:tcW w:w="1998" w:type="dxa"/>
            <w:tcBorders>
              <w:left w:val="nil"/>
            </w:tcBorders>
          </w:tcPr>
          <w:p>
            <w:pPr>
              <w:pStyle w:val="TableParagraph"/>
              <w:spacing w:line="244" w:lineRule="auto"/>
              <w:ind w:left="108" w:right="520"/>
              <w:jc w:val="left"/>
              <w:rPr>
                <w:b/>
                <w:sz w:val="22"/>
                <w:u w:val="none"/>
              </w:rPr>
            </w:pPr>
            <w:r>
              <w:rPr>
                <w:b/>
                <w:sz w:val="22"/>
                <w:u w:val="none"/>
              </w:rPr>
              <w:t>Section 0741 (Revised)</w:t>
            </w:r>
          </w:p>
        </w:tc>
        <w:tc>
          <w:tcPr>
            <w:tcW w:w="7463" w:type="dxa"/>
            <w:tcBorders>
              <w:right w:val="nil"/>
            </w:tcBorders>
          </w:tcPr>
          <w:p>
            <w:pPr>
              <w:pStyle w:val="TableParagraph"/>
              <w:ind w:left="103" w:right="743"/>
              <w:jc w:val="left"/>
              <w:rPr>
                <w:sz w:val="22"/>
                <w:u w:val="none"/>
              </w:rPr>
            </w:pPr>
            <w:r>
              <w:rPr>
                <w:b/>
                <w:sz w:val="22"/>
                <w:u w:val="thick"/>
              </w:rPr>
              <w:t>Commercial Air Travel, </w:t>
            </w:r>
            <w:r>
              <w:rPr>
                <w:sz w:val="22"/>
                <w:u w:val="none"/>
              </w:rPr>
              <w:t>DPA PML 2005046 (11/7/05) changed this policy.</w:t>
            </w:r>
          </w:p>
        </w:tc>
      </w:tr>
      <w:tr>
        <w:trPr>
          <w:trHeight w:val="1025" w:hRule="exact"/>
        </w:trPr>
        <w:tc>
          <w:tcPr>
            <w:tcW w:w="1998" w:type="dxa"/>
            <w:tcBorders>
              <w:left w:val="nil"/>
            </w:tcBorders>
          </w:tcPr>
          <w:p>
            <w:pPr>
              <w:pStyle w:val="TableParagraph"/>
              <w:spacing w:line="244" w:lineRule="auto"/>
              <w:ind w:left="108" w:right="336"/>
              <w:jc w:val="left"/>
              <w:rPr>
                <w:b/>
                <w:sz w:val="22"/>
                <w:u w:val="none"/>
              </w:rPr>
            </w:pPr>
            <w:r>
              <w:rPr>
                <w:b/>
                <w:sz w:val="22"/>
                <w:u w:val="none"/>
              </w:rPr>
              <w:t>Section 4841.2 (Revised)</w:t>
            </w:r>
          </w:p>
        </w:tc>
        <w:tc>
          <w:tcPr>
            <w:tcW w:w="7463" w:type="dxa"/>
            <w:tcBorders>
              <w:right w:val="nil"/>
            </w:tcBorders>
          </w:tcPr>
          <w:p>
            <w:pPr>
              <w:pStyle w:val="TableParagraph"/>
              <w:ind w:left="103" w:right="312"/>
              <w:jc w:val="both"/>
              <w:rPr>
                <w:sz w:val="22"/>
                <w:u w:val="none"/>
              </w:rPr>
            </w:pPr>
            <w:r>
              <w:rPr>
                <w:b/>
                <w:sz w:val="22"/>
                <w:u w:val="thick"/>
              </w:rPr>
              <w:t>Information Integrity and Security, </w:t>
            </w:r>
            <w:r>
              <w:rPr>
                <w:sz w:val="22"/>
                <w:u w:val="none"/>
              </w:rPr>
              <w:t>included policy that establishes the requirement to encrypt all personal, sensitive, or confidential information stored on portable storage media and portable computing devices.</w:t>
            </w:r>
          </w:p>
        </w:tc>
      </w:tr>
      <w:tr>
        <w:trPr>
          <w:trHeight w:val="1025" w:hRule="exact"/>
        </w:trPr>
        <w:tc>
          <w:tcPr>
            <w:tcW w:w="1998" w:type="dxa"/>
            <w:tcBorders>
              <w:left w:val="nil"/>
            </w:tcBorders>
          </w:tcPr>
          <w:p>
            <w:pPr>
              <w:pStyle w:val="TableParagraph"/>
              <w:spacing w:line="244" w:lineRule="auto"/>
              <w:ind w:left="108" w:right="520"/>
              <w:jc w:val="left"/>
              <w:rPr>
                <w:b/>
                <w:sz w:val="22"/>
                <w:u w:val="none"/>
              </w:rPr>
            </w:pPr>
            <w:r>
              <w:rPr>
                <w:b/>
                <w:sz w:val="22"/>
                <w:u w:val="none"/>
              </w:rPr>
              <w:t>Section 8340 (Revised)</w:t>
            </w:r>
          </w:p>
        </w:tc>
        <w:tc>
          <w:tcPr>
            <w:tcW w:w="7463" w:type="dxa"/>
            <w:tcBorders>
              <w:right w:val="nil"/>
            </w:tcBorders>
          </w:tcPr>
          <w:p>
            <w:pPr>
              <w:pStyle w:val="TableParagraph"/>
              <w:ind w:left="103" w:right="107"/>
              <w:jc w:val="left"/>
              <w:rPr>
                <w:sz w:val="22"/>
                <w:u w:val="none"/>
              </w:rPr>
            </w:pPr>
            <w:r>
              <w:rPr>
                <w:b/>
                <w:sz w:val="22"/>
                <w:u w:val="thick"/>
              </w:rPr>
              <w:t>Encumbrances, </w:t>
            </w:r>
            <w:r>
              <w:rPr>
                <w:sz w:val="22"/>
                <w:u w:val="none"/>
              </w:rPr>
              <w:t>revised to incorporate most of Budget Letter 04-10 which clarified the year of appropriation to charge an encumbrance and the subsequent expenditure for the purchase of goods/services.</w:t>
            </w:r>
          </w:p>
        </w:tc>
      </w:tr>
      <w:tr>
        <w:trPr>
          <w:trHeight w:val="784" w:hRule="exact"/>
        </w:trPr>
        <w:tc>
          <w:tcPr>
            <w:tcW w:w="1998" w:type="dxa"/>
            <w:tcBorders>
              <w:left w:val="nil"/>
            </w:tcBorders>
          </w:tcPr>
          <w:p>
            <w:pPr>
              <w:pStyle w:val="TableParagraph"/>
              <w:spacing w:line="244" w:lineRule="auto"/>
              <w:ind w:left="108" w:right="520"/>
              <w:jc w:val="left"/>
              <w:rPr>
                <w:b/>
                <w:sz w:val="22"/>
                <w:u w:val="none"/>
              </w:rPr>
            </w:pPr>
            <w:r>
              <w:rPr>
                <w:b/>
                <w:sz w:val="22"/>
                <w:u w:val="none"/>
              </w:rPr>
              <w:t>Section 8643 (Revised)</w:t>
            </w:r>
          </w:p>
        </w:tc>
        <w:tc>
          <w:tcPr>
            <w:tcW w:w="7463" w:type="dxa"/>
            <w:tcBorders>
              <w:right w:val="nil"/>
            </w:tcBorders>
          </w:tcPr>
          <w:p>
            <w:pPr>
              <w:pStyle w:val="TableParagraph"/>
              <w:ind w:left="103" w:right="112"/>
              <w:jc w:val="left"/>
              <w:rPr>
                <w:sz w:val="22"/>
                <w:u w:val="none"/>
              </w:rPr>
            </w:pPr>
            <w:r>
              <w:rPr>
                <w:b/>
                <w:sz w:val="22"/>
                <w:u w:val="thick"/>
              </w:rPr>
              <w:t>Lost, Stolen, or Destroyed Property, </w:t>
            </w:r>
            <w:r>
              <w:rPr>
                <w:sz w:val="22"/>
                <w:u w:val="none"/>
              </w:rPr>
              <w:t>revised to incorporate information in SAM section 4845 and SIMM.</w:t>
            </w:r>
          </w:p>
        </w:tc>
      </w:tr>
      <w:tr>
        <w:trPr>
          <w:trHeight w:val="786" w:hRule="exact"/>
        </w:trPr>
        <w:tc>
          <w:tcPr>
            <w:tcW w:w="1998" w:type="dxa"/>
            <w:tcBorders>
              <w:left w:val="nil"/>
            </w:tcBorders>
          </w:tcPr>
          <w:p>
            <w:pPr>
              <w:pStyle w:val="TableParagraph"/>
              <w:spacing w:line="244" w:lineRule="auto"/>
              <w:ind w:left="108" w:right="520"/>
              <w:jc w:val="left"/>
              <w:rPr>
                <w:b/>
                <w:sz w:val="22"/>
                <w:u w:val="none"/>
              </w:rPr>
            </w:pPr>
            <w:r>
              <w:rPr>
                <w:b/>
                <w:sz w:val="22"/>
                <w:u w:val="none"/>
              </w:rPr>
              <w:t>Section 8740 (Revised)</w:t>
            </w:r>
          </w:p>
        </w:tc>
        <w:tc>
          <w:tcPr>
            <w:tcW w:w="7463" w:type="dxa"/>
            <w:tcBorders>
              <w:right w:val="nil"/>
            </w:tcBorders>
          </w:tcPr>
          <w:p>
            <w:pPr>
              <w:pStyle w:val="TableParagraph"/>
              <w:ind w:left="103" w:right="107"/>
              <w:jc w:val="left"/>
              <w:rPr>
                <w:sz w:val="22"/>
                <w:u w:val="none"/>
              </w:rPr>
            </w:pPr>
            <w:r>
              <w:rPr>
                <w:b/>
                <w:sz w:val="22"/>
                <w:u w:val="thick"/>
              </w:rPr>
              <w:t>Billing for Services of Employees Paid on Monthly Basis, </w:t>
            </w:r>
            <w:r>
              <w:rPr>
                <w:sz w:val="22"/>
                <w:u w:val="none"/>
              </w:rPr>
              <w:t>revised to incorporate 2006 billing rates.</w:t>
            </w:r>
          </w:p>
        </w:tc>
      </w:tr>
    </w:tbl>
    <w:p>
      <w:pPr>
        <w:spacing w:after="0"/>
        <w:jc w:val="left"/>
        <w:rPr>
          <w:sz w:val="22"/>
        </w:rPr>
        <w:sectPr>
          <w:footerReference w:type="default" r:id="rId5"/>
          <w:type w:val="continuous"/>
          <w:pgSz w:w="12240" w:h="15840"/>
          <w:pgMar w:footer="745" w:top="1140" w:bottom="940" w:left="1220" w:right="1340"/>
        </w:sectPr>
      </w:pPr>
    </w:p>
    <w:p>
      <w:pPr>
        <w:spacing w:before="63"/>
        <w:ind w:left="2875" w:right="0" w:firstLine="0"/>
        <w:jc w:val="left"/>
        <w:rPr>
          <w:b/>
          <w:sz w:val="22"/>
        </w:rPr>
      </w:pPr>
      <w:r>
        <w:rPr>
          <w:b/>
          <w:sz w:val="22"/>
        </w:rPr>
        <w:t>REVISION SEQUENCE INSTRUCTIONS</w:t>
      </w:r>
    </w:p>
    <w:p>
      <w:pPr>
        <w:pStyle w:val="BodyText"/>
        <w:spacing w:before="178"/>
        <w:ind w:left="220" w:right="7"/>
      </w:pPr>
      <w:r>
        <w:rPr/>
        <w:t>The SAM is undergoing a format transition. Therefore, page numbers are either at the center bottom or upper right corner of the page.</w:t>
      </w:r>
    </w:p>
    <w:p>
      <w:pPr>
        <w:pStyle w:val="BodyText"/>
        <w:spacing w:before="1"/>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1710"/>
        <w:gridCol w:w="2610"/>
        <w:gridCol w:w="1802"/>
      </w:tblGrid>
      <w:tr>
        <w:trPr>
          <w:trHeight w:val="510" w:hRule="exact"/>
        </w:trPr>
        <w:tc>
          <w:tcPr>
            <w:tcW w:w="3530" w:type="dxa"/>
            <w:tcBorders>
              <w:top w:val="nil"/>
              <w:left w:val="nil"/>
              <w:bottom w:val="nil"/>
              <w:right w:val="nil"/>
            </w:tcBorders>
          </w:tcPr>
          <w:p>
            <w:pPr>
              <w:pStyle w:val="TableParagraph"/>
              <w:spacing w:line="245" w:lineRule="exact" w:before="0"/>
              <w:ind w:left="110"/>
              <w:jc w:val="left"/>
              <w:rPr>
                <w:b/>
                <w:sz w:val="22"/>
                <w:u w:val="none"/>
              </w:rPr>
            </w:pPr>
            <w:r>
              <w:rPr>
                <w:b/>
                <w:sz w:val="22"/>
                <w:u w:val="none"/>
              </w:rPr>
              <w:t>Remove Page (s)</w:t>
            </w:r>
          </w:p>
        </w:tc>
        <w:tc>
          <w:tcPr>
            <w:tcW w:w="1710" w:type="dxa"/>
            <w:tcBorders>
              <w:top w:val="nil"/>
              <w:left w:val="nil"/>
              <w:bottom w:val="nil"/>
              <w:right w:val="nil"/>
            </w:tcBorders>
          </w:tcPr>
          <w:p>
            <w:pPr>
              <w:pStyle w:val="TableParagraph"/>
              <w:spacing w:line="244" w:lineRule="auto" w:before="0"/>
              <w:ind w:left="304" w:right="182" w:hanging="105"/>
              <w:jc w:val="left"/>
              <w:rPr>
                <w:b/>
                <w:sz w:val="22"/>
                <w:u w:val="none"/>
              </w:rPr>
            </w:pPr>
            <w:r>
              <w:rPr>
                <w:b/>
                <w:sz w:val="22"/>
                <w:u w:val="none"/>
              </w:rPr>
              <w:t>Consecutive Number of</w:t>
            </w:r>
          </w:p>
        </w:tc>
        <w:tc>
          <w:tcPr>
            <w:tcW w:w="2610" w:type="dxa"/>
            <w:tcBorders>
              <w:top w:val="nil"/>
              <w:left w:val="nil"/>
              <w:bottom w:val="nil"/>
              <w:right w:val="nil"/>
            </w:tcBorders>
          </w:tcPr>
          <w:p>
            <w:pPr>
              <w:pStyle w:val="TableParagraph"/>
              <w:spacing w:line="245" w:lineRule="exact" w:before="0"/>
              <w:ind w:left="526" w:right="526"/>
              <w:rPr>
                <w:b/>
                <w:sz w:val="22"/>
                <w:u w:val="none"/>
              </w:rPr>
            </w:pPr>
            <w:r>
              <w:rPr>
                <w:b/>
                <w:sz w:val="22"/>
                <w:u w:val="none"/>
              </w:rPr>
              <w:t>Insert Page (s)</w:t>
            </w:r>
          </w:p>
        </w:tc>
        <w:tc>
          <w:tcPr>
            <w:tcW w:w="1802" w:type="dxa"/>
            <w:tcBorders>
              <w:top w:val="nil"/>
              <w:left w:val="nil"/>
              <w:bottom w:val="nil"/>
              <w:right w:val="nil"/>
            </w:tcBorders>
          </w:tcPr>
          <w:p>
            <w:pPr>
              <w:pStyle w:val="TableParagraph"/>
              <w:spacing w:line="244" w:lineRule="auto" w:before="0"/>
              <w:ind w:left="350" w:right="229" w:hanging="105"/>
              <w:jc w:val="left"/>
              <w:rPr>
                <w:b/>
                <w:sz w:val="22"/>
                <w:u w:val="none"/>
              </w:rPr>
            </w:pPr>
            <w:r>
              <w:rPr>
                <w:b/>
                <w:sz w:val="22"/>
                <w:u w:val="none"/>
              </w:rPr>
              <w:t>Consecutive Number of</w:t>
            </w:r>
          </w:p>
        </w:tc>
      </w:tr>
      <w:tr>
        <w:trPr>
          <w:trHeight w:val="257" w:hRule="exact"/>
        </w:trPr>
        <w:tc>
          <w:tcPr>
            <w:tcW w:w="3530" w:type="dxa"/>
            <w:tcBorders>
              <w:top w:val="nil"/>
              <w:left w:val="nil"/>
              <w:right w:val="nil"/>
            </w:tcBorders>
          </w:tcPr>
          <w:p>
            <w:pPr/>
          </w:p>
        </w:tc>
        <w:tc>
          <w:tcPr>
            <w:tcW w:w="1710" w:type="dxa"/>
            <w:tcBorders>
              <w:top w:val="nil"/>
              <w:left w:val="nil"/>
              <w:right w:val="nil"/>
            </w:tcBorders>
          </w:tcPr>
          <w:p>
            <w:pPr>
              <w:pStyle w:val="TableParagraph"/>
              <w:spacing w:line="252" w:lineRule="exact" w:before="0"/>
              <w:ind w:left="474" w:right="474"/>
              <w:rPr>
                <w:b/>
                <w:sz w:val="22"/>
                <w:u w:val="none"/>
              </w:rPr>
            </w:pPr>
            <w:r>
              <w:rPr>
                <w:b/>
                <w:sz w:val="22"/>
                <w:u w:val="none"/>
              </w:rPr>
              <w:t>Sheets</w:t>
            </w:r>
          </w:p>
        </w:tc>
        <w:tc>
          <w:tcPr>
            <w:tcW w:w="2610" w:type="dxa"/>
            <w:tcBorders>
              <w:top w:val="nil"/>
              <w:left w:val="nil"/>
              <w:right w:val="nil"/>
            </w:tcBorders>
          </w:tcPr>
          <w:p>
            <w:pPr/>
          </w:p>
        </w:tc>
        <w:tc>
          <w:tcPr>
            <w:tcW w:w="1802" w:type="dxa"/>
            <w:tcBorders>
              <w:top w:val="nil"/>
              <w:left w:val="nil"/>
              <w:right w:val="nil"/>
            </w:tcBorders>
          </w:tcPr>
          <w:p>
            <w:pPr>
              <w:pStyle w:val="TableParagraph"/>
              <w:spacing w:line="252" w:lineRule="exact" w:before="0"/>
              <w:ind w:left="519" w:right="520"/>
              <w:rPr>
                <w:b/>
                <w:sz w:val="22"/>
                <w:u w:val="none"/>
              </w:rPr>
            </w:pPr>
            <w:r>
              <w:rPr>
                <w:b/>
                <w:sz w:val="22"/>
                <w:u w:val="none"/>
              </w:rPr>
              <w:t>Sheets</w:t>
            </w:r>
          </w:p>
        </w:tc>
      </w:tr>
      <w:tr>
        <w:trPr>
          <w:trHeight w:val="526" w:hRule="exact"/>
        </w:trPr>
        <w:tc>
          <w:tcPr>
            <w:tcW w:w="3530" w:type="dxa"/>
          </w:tcPr>
          <w:p>
            <w:pPr>
              <w:pStyle w:val="TableParagraph"/>
              <w:ind w:left="103"/>
              <w:jc w:val="left"/>
              <w:rPr>
                <w:b/>
                <w:sz w:val="22"/>
                <w:u w:val="none"/>
              </w:rPr>
            </w:pPr>
            <w:r>
              <w:rPr>
                <w:b/>
                <w:sz w:val="22"/>
                <w:u w:val="none"/>
              </w:rPr>
              <w:t>0030 through 0030 (Cont. 4)</w:t>
            </w:r>
          </w:p>
        </w:tc>
        <w:tc>
          <w:tcPr>
            <w:tcW w:w="1710" w:type="dxa"/>
          </w:tcPr>
          <w:p>
            <w:pPr>
              <w:pStyle w:val="TableParagraph"/>
              <w:rPr>
                <w:b/>
                <w:sz w:val="22"/>
                <w:u w:val="none"/>
              </w:rPr>
            </w:pPr>
            <w:r>
              <w:rPr>
                <w:b/>
                <w:w w:val="99"/>
                <w:sz w:val="22"/>
                <w:u w:val="none"/>
              </w:rPr>
              <w:t>3</w:t>
            </w:r>
          </w:p>
        </w:tc>
        <w:tc>
          <w:tcPr>
            <w:tcW w:w="2610" w:type="dxa"/>
          </w:tcPr>
          <w:p>
            <w:pPr>
              <w:pStyle w:val="TableParagraph"/>
              <w:ind w:left="961" w:right="962"/>
              <w:rPr>
                <w:b/>
                <w:sz w:val="22"/>
                <w:u w:val="none"/>
              </w:rPr>
            </w:pPr>
            <w:r>
              <w:rPr>
                <w:b/>
                <w:sz w:val="22"/>
                <w:u w:val="none"/>
              </w:rPr>
              <w:t>SAME</w:t>
            </w:r>
          </w:p>
        </w:tc>
        <w:tc>
          <w:tcPr>
            <w:tcW w:w="1802" w:type="dxa"/>
          </w:tcPr>
          <w:p>
            <w:pPr>
              <w:pStyle w:val="TableParagraph"/>
              <w:spacing w:line="239" w:lineRule="exact" w:before="0"/>
              <w:rPr>
                <w:b/>
                <w:sz w:val="22"/>
                <w:u w:val="none"/>
              </w:rPr>
            </w:pPr>
            <w:r>
              <w:rPr>
                <w:b/>
                <w:w w:val="99"/>
                <w:sz w:val="22"/>
                <w:u w:val="none"/>
              </w:rPr>
              <w:t>3</w:t>
            </w:r>
          </w:p>
        </w:tc>
      </w:tr>
      <w:tr>
        <w:trPr>
          <w:trHeight w:val="526" w:hRule="exact"/>
        </w:trPr>
        <w:tc>
          <w:tcPr>
            <w:tcW w:w="3530" w:type="dxa"/>
          </w:tcPr>
          <w:p>
            <w:pPr>
              <w:pStyle w:val="TableParagraph"/>
              <w:ind w:left="103"/>
              <w:jc w:val="left"/>
              <w:rPr>
                <w:b/>
                <w:sz w:val="22"/>
                <w:u w:val="none"/>
              </w:rPr>
            </w:pPr>
            <w:r>
              <w:rPr>
                <w:b/>
                <w:sz w:val="22"/>
                <w:u w:val="none"/>
              </w:rPr>
              <w:t>0727</w:t>
            </w:r>
          </w:p>
        </w:tc>
        <w:tc>
          <w:tcPr>
            <w:tcW w:w="1710" w:type="dxa"/>
          </w:tcPr>
          <w:p>
            <w:pPr>
              <w:pStyle w:val="TableParagraph"/>
              <w:rPr>
                <w:b/>
                <w:sz w:val="22"/>
                <w:u w:val="none"/>
              </w:rPr>
            </w:pPr>
            <w:r>
              <w:rPr>
                <w:b/>
                <w:w w:val="99"/>
                <w:sz w:val="22"/>
                <w:u w:val="none"/>
              </w:rPr>
              <w:t>1</w:t>
            </w:r>
          </w:p>
        </w:tc>
        <w:tc>
          <w:tcPr>
            <w:tcW w:w="2610" w:type="dxa"/>
          </w:tcPr>
          <w:p>
            <w:pPr>
              <w:pStyle w:val="TableParagraph"/>
              <w:ind w:left="961" w:right="962"/>
              <w:rPr>
                <w:b/>
                <w:sz w:val="22"/>
                <w:u w:val="none"/>
              </w:rPr>
            </w:pPr>
            <w:r>
              <w:rPr>
                <w:b/>
                <w:sz w:val="22"/>
                <w:u w:val="none"/>
              </w:rPr>
              <w:t>SAME</w:t>
            </w:r>
          </w:p>
        </w:tc>
        <w:tc>
          <w:tcPr>
            <w:tcW w:w="1802" w:type="dxa"/>
          </w:tcPr>
          <w:p>
            <w:pPr>
              <w:pStyle w:val="TableParagraph"/>
              <w:ind w:right="1"/>
              <w:rPr>
                <w:b/>
                <w:sz w:val="22"/>
                <w:u w:val="none"/>
              </w:rPr>
            </w:pPr>
            <w:r>
              <w:rPr>
                <w:b/>
                <w:w w:val="99"/>
                <w:sz w:val="22"/>
                <w:u w:val="none"/>
              </w:rPr>
              <w:t>1</w:t>
            </w:r>
          </w:p>
        </w:tc>
      </w:tr>
      <w:tr>
        <w:trPr>
          <w:trHeight w:val="526" w:hRule="exact"/>
        </w:trPr>
        <w:tc>
          <w:tcPr>
            <w:tcW w:w="3530" w:type="dxa"/>
          </w:tcPr>
          <w:p>
            <w:pPr>
              <w:pStyle w:val="TableParagraph"/>
              <w:ind w:left="103"/>
              <w:jc w:val="left"/>
              <w:rPr>
                <w:b/>
                <w:sz w:val="22"/>
                <w:u w:val="none"/>
              </w:rPr>
            </w:pPr>
            <w:r>
              <w:rPr>
                <w:b/>
                <w:sz w:val="22"/>
                <w:u w:val="none"/>
              </w:rPr>
              <w:t>4841.1 through 4841.3 (Cont. 1)</w:t>
            </w:r>
          </w:p>
        </w:tc>
        <w:tc>
          <w:tcPr>
            <w:tcW w:w="1710" w:type="dxa"/>
          </w:tcPr>
          <w:p>
            <w:pPr>
              <w:pStyle w:val="TableParagraph"/>
              <w:ind w:right="1"/>
              <w:rPr>
                <w:b/>
                <w:sz w:val="22"/>
                <w:u w:val="none"/>
              </w:rPr>
            </w:pPr>
            <w:r>
              <w:rPr>
                <w:b/>
                <w:w w:val="99"/>
                <w:sz w:val="22"/>
                <w:u w:val="none"/>
              </w:rPr>
              <w:t>2</w:t>
            </w:r>
          </w:p>
        </w:tc>
        <w:tc>
          <w:tcPr>
            <w:tcW w:w="2610" w:type="dxa"/>
          </w:tcPr>
          <w:p>
            <w:pPr>
              <w:pStyle w:val="TableParagraph"/>
              <w:ind w:left="961" w:right="962"/>
              <w:rPr>
                <w:b/>
                <w:sz w:val="22"/>
                <w:u w:val="none"/>
              </w:rPr>
            </w:pPr>
            <w:r>
              <w:rPr>
                <w:b/>
                <w:sz w:val="22"/>
                <w:u w:val="none"/>
              </w:rPr>
              <w:t>SAME</w:t>
            </w:r>
          </w:p>
        </w:tc>
        <w:tc>
          <w:tcPr>
            <w:tcW w:w="1802" w:type="dxa"/>
          </w:tcPr>
          <w:p>
            <w:pPr>
              <w:pStyle w:val="TableParagraph"/>
              <w:ind w:right="1"/>
              <w:rPr>
                <w:b/>
                <w:sz w:val="22"/>
                <w:u w:val="none"/>
              </w:rPr>
            </w:pPr>
            <w:r>
              <w:rPr>
                <w:b/>
                <w:w w:val="99"/>
                <w:sz w:val="22"/>
                <w:u w:val="none"/>
              </w:rPr>
              <w:t>2</w:t>
            </w:r>
          </w:p>
        </w:tc>
      </w:tr>
      <w:tr>
        <w:trPr>
          <w:trHeight w:val="526" w:hRule="exact"/>
        </w:trPr>
        <w:tc>
          <w:tcPr>
            <w:tcW w:w="3530" w:type="dxa"/>
          </w:tcPr>
          <w:p>
            <w:pPr>
              <w:pStyle w:val="TableParagraph"/>
              <w:ind w:left="103"/>
              <w:jc w:val="left"/>
              <w:rPr>
                <w:b/>
                <w:sz w:val="22"/>
                <w:u w:val="none"/>
              </w:rPr>
            </w:pPr>
            <w:r>
              <w:rPr>
                <w:b/>
                <w:sz w:val="22"/>
                <w:u w:val="none"/>
              </w:rPr>
              <w:t>8322 (Cont. 1)</w:t>
            </w:r>
          </w:p>
        </w:tc>
        <w:tc>
          <w:tcPr>
            <w:tcW w:w="1710" w:type="dxa"/>
          </w:tcPr>
          <w:p>
            <w:pPr>
              <w:pStyle w:val="TableParagraph"/>
              <w:rPr>
                <w:b/>
                <w:sz w:val="22"/>
                <w:u w:val="none"/>
              </w:rPr>
            </w:pPr>
            <w:r>
              <w:rPr>
                <w:b/>
                <w:w w:val="99"/>
                <w:sz w:val="22"/>
                <w:u w:val="none"/>
              </w:rPr>
              <w:t>1</w:t>
            </w:r>
          </w:p>
        </w:tc>
        <w:tc>
          <w:tcPr>
            <w:tcW w:w="2610" w:type="dxa"/>
          </w:tcPr>
          <w:p>
            <w:pPr>
              <w:pStyle w:val="TableParagraph"/>
              <w:ind w:left="961" w:right="962"/>
              <w:rPr>
                <w:b/>
                <w:sz w:val="22"/>
                <w:u w:val="none"/>
              </w:rPr>
            </w:pPr>
            <w:r>
              <w:rPr>
                <w:b/>
                <w:sz w:val="22"/>
                <w:u w:val="none"/>
              </w:rPr>
              <w:t>SAME</w:t>
            </w:r>
          </w:p>
        </w:tc>
        <w:tc>
          <w:tcPr>
            <w:tcW w:w="1802" w:type="dxa"/>
          </w:tcPr>
          <w:p>
            <w:pPr>
              <w:pStyle w:val="TableParagraph"/>
              <w:ind w:right="1"/>
              <w:rPr>
                <w:b/>
                <w:sz w:val="22"/>
                <w:u w:val="none"/>
              </w:rPr>
            </w:pPr>
            <w:r>
              <w:rPr>
                <w:b/>
                <w:w w:val="99"/>
                <w:sz w:val="22"/>
                <w:u w:val="none"/>
              </w:rPr>
              <w:t>1</w:t>
            </w:r>
          </w:p>
        </w:tc>
      </w:tr>
      <w:tr>
        <w:trPr>
          <w:trHeight w:val="526" w:hRule="exact"/>
        </w:trPr>
        <w:tc>
          <w:tcPr>
            <w:tcW w:w="3530" w:type="dxa"/>
          </w:tcPr>
          <w:p>
            <w:pPr>
              <w:pStyle w:val="TableParagraph"/>
              <w:ind w:left="103"/>
              <w:jc w:val="left"/>
              <w:rPr>
                <w:b/>
                <w:sz w:val="22"/>
                <w:u w:val="none"/>
              </w:rPr>
            </w:pPr>
            <w:r>
              <w:rPr>
                <w:b/>
                <w:sz w:val="22"/>
                <w:u w:val="none"/>
              </w:rPr>
              <w:t>8643</w:t>
            </w:r>
          </w:p>
        </w:tc>
        <w:tc>
          <w:tcPr>
            <w:tcW w:w="1710" w:type="dxa"/>
          </w:tcPr>
          <w:p>
            <w:pPr>
              <w:pStyle w:val="TableParagraph"/>
              <w:rPr>
                <w:b/>
                <w:sz w:val="22"/>
                <w:u w:val="none"/>
              </w:rPr>
            </w:pPr>
            <w:r>
              <w:rPr>
                <w:b/>
                <w:w w:val="99"/>
                <w:sz w:val="22"/>
                <w:u w:val="none"/>
              </w:rPr>
              <w:t>1</w:t>
            </w:r>
          </w:p>
        </w:tc>
        <w:tc>
          <w:tcPr>
            <w:tcW w:w="2610" w:type="dxa"/>
          </w:tcPr>
          <w:p>
            <w:pPr>
              <w:pStyle w:val="TableParagraph"/>
              <w:ind w:left="961" w:right="962"/>
              <w:rPr>
                <w:b/>
                <w:sz w:val="22"/>
                <w:u w:val="none"/>
              </w:rPr>
            </w:pPr>
            <w:r>
              <w:rPr>
                <w:b/>
                <w:sz w:val="22"/>
                <w:u w:val="none"/>
              </w:rPr>
              <w:t>SAME</w:t>
            </w:r>
          </w:p>
        </w:tc>
        <w:tc>
          <w:tcPr>
            <w:tcW w:w="1802" w:type="dxa"/>
          </w:tcPr>
          <w:p>
            <w:pPr>
              <w:pStyle w:val="TableParagraph"/>
              <w:ind w:right="1"/>
              <w:rPr>
                <w:b/>
                <w:sz w:val="22"/>
                <w:u w:val="none"/>
              </w:rPr>
            </w:pPr>
            <w:r>
              <w:rPr>
                <w:b/>
                <w:w w:val="99"/>
                <w:sz w:val="22"/>
                <w:u w:val="none"/>
              </w:rPr>
              <w:t>1</w:t>
            </w:r>
          </w:p>
        </w:tc>
      </w:tr>
      <w:tr>
        <w:trPr>
          <w:trHeight w:val="528" w:hRule="exact"/>
        </w:trPr>
        <w:tc>
          <w:tcPr>
            <w:tcW w:w="3530" w:type="dxa"/>
          </w:tcPr>
          <w:p>
            <w:pPr>
              <w:pStyle w:val="TableParagraph"/>
              <w:ind w:left="103"/>
              <w:jc w:val="left"/>
              <w:rPr>
                <w:b/>
                <w:sz w:val="22"/>
                <w:u w:val="none"/>
              </w:rPr>
            </w:pPr>
            <w:r>
              <w:rPr>
                <w:b/>
                <w:sz w:val="22"/>
                <w:u w:val="none"/>
              </w:rPr>
              <w:t>8740</w:t>
            </w:r>
          </w:p>
        </w:tc>
        <w:tc>
          <w:tcPr>
            <w:tcW w:w="1710" w:type="dxa"/>
          </w:tcPr>
          <w:p>
            <w:pPr>
              <w:pStyle w:val="TableParagraph"/>
              <w:rPr>
                <w:b/>
                <w:sz w:val="22"/>
                <w:u w:val="none"/>
              </w:rPr>
            </w:pPr>
            <w:r>
              <w:rPr>
                <w:b/>
                <w:w w:val="99"/>
                <w:sz w:val="22"/>
                <w:u w:val="none"/>
              </w:rPr>
              <w:t>1</w:t>
            </w:r>
          </w:p>
        </w:tc>
        <w:tc>
          <w:tcPr>
            <w:tcW w:w="2610" w:type="dxa"/>
          </w:tcPr>
          <w:p>
            <w:pPr>
              <w:pStyle w:val="TableParagraph"/>
              <w:ind w:left="961" w:right="962"/>
              <w:rPr>
                <w:b/>
                <w:sz w:val="22"/>
                <w:u w:val="none"/>
              </w:rPr>
            </w:pPr>
            <w:r>
              <w:rPr>
                <w:b/>
                <w:sz w:val="22"/>
                <w:u w:val="none"/>
              </w:rPr>
              <w:t>SAME</w:t>
            </w:r>
          </w:p>
        </w:tc>
        <w:tc>
          <w:tcPr>
            <w:tcW w:w="1802" w:type="dxa"/>
          </w:tcPr>
          <w:p>
            <w:pPr>
              <w:pStyle w:val="TableParagraph"/>
              <w:ind w:right="1"/>
              <w:rPr>
                <w:b/>
                <w:sz w:val="22"/>
                <w:u w:val="none"/>
              </w:rPr>
            </w:pPr>
            <w:r>
              <w:rPr>
                <w:b/>
                <w:w w:val="99"/>
                <w:sz w:val="22"/>
                <w:u w:val="none"/>
              </w:rPr>
              <w:t>1</w:t>
            </w:r>
          </w:p>
        </w:tc>
      </w:tr>
    </w:tbl>
    <w:sectPr>
      <w:pgSz w:w="12240" w:h="15840"/>
      <w:pgMar w:header="0" w:footer="745" w:top="92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769165pt;width:42.55pt;height:13.2pt;mso-position-horizontal-relative:page;mso-position-vertical-relative:page;z-index:-5392" type="#_x0000_t202" filled="false" stroked="false">
          <v:textbox inset="0,0,0,0">
            <w:txbxContent>
              <w:p>
                <w:pPr>
                  <w:spacing w:before="14"/>
                  <w:ind w:left="20" w:right="0" w:firstLine="0"/>
                  <w:jc w:val="left"/>
                  <w:rPr>
                    <w:b/>
                    <w:sz w:val="20"/>
                  </w:rPr>
                </w:pPr>
                <w:r>
                  <w:rPr>
                    <w:b/>
                    <w:sz w:val="20"/>
                  </w:rPr>
                  <w:t>Rev. 392</w:t>
                </w:r>
              </w:p>
            </w:txbxContent>
          </v:textbox>
          <w10:wrap type="none"/>
        </v:shape>
      </w:pict>
    </w:r>
    <w:r>
      <w:rPr/>
      <w:pict>
        <v:shape style="position:absolute;margin-left:456.520203pt;margin-top:743.769165pt;width:84.45pt;height:13.2pt;mso-position-horizontal-relative:page;mso-position-vertical-relative:page;z-index:-5368" type="#_x0000_t202" filled="false" stroked="false">
          <v:textbox inset="0,0,0,0">
            <w:txbxContent>
              <w:p>
                <w:pPr>
                  <w:spacing w:before="14"/>
                  <w:ind w:left="20" w:right="0" w:firstLine="0"/>
                  <w:jc w:val="left"/>
                  <w:rPr>
                    <w:b/>
                    <w:sz w:val="20"/>
                  </w:rPr>
                </w:pPr>
                <w:r>
                  <w:rPr>
                    <w:b/>
                    <w:sz w:val="20"/>
                  </w:rPr>
                  <w:t>DECEMBER 2005</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5"/>
      <w:jc w:val="center"/>
    </w:pPr>
    <w:rPr>
      <w:rFonts w:ascii="Arial" w:hAnsi="Arial" w:eastAsia="Arial" w:cs="Arial"/>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dc:title>
  <dcterms:created xsi:type="dcterms:W3CDTF">2020-07-14T11:20:00Z</dcterms:created>
  <dcterms:modified xsi:type="dcterms:W3CDTF">2020-07-14T11:20:00Z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2006-01-13T00:00:00Z</vt:filetime>
  </property>
  <property fmtid="{D5CDD505-2E9C-101B-9397-08002B2CF9AE}" pid="3" name="Creator">
    <vt:lpwstr>Acrobat PDFMaker 5.0 for Word</vt:lpwstr>
  </property>
  <property fmtid="{D5CDD505-2E9C-101B-9397-08002B2CF9AE}" pid="4" name="LastSaved">
    <vt:filetime>2020-07-14T00:00:00Z</vt:filetime>
  </property>
</Properties>
</file>