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4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9" w:after="1"/>
        <w:rPr>
          <w:sz w:val="2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63"/>
      </w:tblGrid>
      <w:tr>
        <w:trPr>
          <w:trHeight w:val="506" w:hRule="exact"/>
        </w:trPr>
        <w:tc>
          <w:tcPr>
            <w:tcW w:w="1998" w:type="dxa"/>
            <w:tcBorders>
              <w:top w:val="nil"/>
              <w:left w:val="nil"/>
              <w:right w:val="nil"/>
            </w:tcBorders>
          </w:tcPr>
          <w:p>
            <w:pPr>
              <w:pStyle w:val="TableParagraph"/>
              <w:spacing w:line="243" w:lineRule="exact" w:before="0"/>
              <w:ind w:left="108"/>
              <w:rPr>
                <w:b/>
                <w:sz w:val="22"/>
                <w:u w:val="none"/>
              </w:rPr>
            </w:pPr>
            <w:r>
              <w:rPr>
                <w:b/>
                <w:sz w:val="22"/>
                <w:u w:val="none"/>
              </w:rPr>
              <w:t>ITEM</w:t>
            </w:r>
          </w:p>
        </w:tc>
        <w:tc>
          <w:tcPr>
            <w:tcW w:w="7463" w:type="dxa"/>
            <w:tcBorders>
              <w:top w:val="nil"/>
              <w:left w:val="nil"/>
              <w:right w:val="nil"/>
            </w:tcBorders>
          </w:tcPr>
          <w:p>
            <w:pPr>
              <w:pStyle w:val="TableParagraph"/>
              <w:spacing w:line="243" w:lineRule="exact" w:before="0"/>
              <w:ind w:left="3127" w:right="3122"/>
              <w:jc w:val="center"/>
              <w:rPr>
                <w:b/>
                <w:sz w:val="22"/>
                <w:u w:val="none"/>
              </w:rPr>
            </w:pPr>
            <w:r>
              <w:rPr>
                <w:b/>
                <w:sz w:val="22"/>
                <w:u w:val="none"/>
              </w:rPr>
              <w:t>SUMMARY</w:t>
            </w:r>
          </w:p>
        </w:tc>
      </w:tr>
      <w:tr>
        <w:trPr>
          <w:trHeight w:val="784" w:hRule="exact"/>
        </w:trPr>
        <w:tc>
          <w:tcPr>
            <w:tcW w:w="1998" w:type="dxa"/>
            <w:tcBorders>
              <w:left w:val="nil"/>
            </w:tcBorders>
          </w:tcPr>
          <w:p>
            <w:pPr>
              <w:pStyle w:val="TableParagraph"/>
              <w:spacing w:line="244" w:lineRule="auto"/>
              <w:ind w:left="108" w:right="685"/>
              <w:rPr>
                <w:b/>
                <w:sz w:val="22"/>
                <w:u w:val="none"/>
              </w:rPr>
            </w:pPr>
            <w:r>
              <w:rPr>
                <w:b/>
                <w:sz w:val="22"/>
                <w:u w:val="none"/>
              </w:rPr>
              <w:t>Section 0030 (Revised)</w:t>
            </w:r>
          </w:p>
        </w:tc>
        <w:tc>
          <w:tcPr>
            <w:tcW w:w="7463" w:type="dxa"/>
            <w:tcBorders>
              <w:right w:val="nil"/>
            </w:tcBorders>
          </w:tcPr>
          <w:p>
            <w:pPr>
              <w:pStyle w:val="TableParagraph"/>
              <w:ind w:left="103"/>
              <w:rPr>
                <w:sz w:val="22"/>
                <w:u w:val="none"/>
              </w:rPr>
            </w:pPr>
            <w:r>
              <w:rPr>
                <w:b/>
                <w:sz w:val="22"/>
                <w:u w:val="thick"/>
              </w:rPr>
              <w:t>SAM Publications and Contacts, </w:t>
            </w:r>
            <w:r>
              <w:rPr>
                <w:sz w:val="22"/>
                <w:u w:val="none"/>
              </w:rPr>
              <w:t>revise and update contacts and information.</w:t>
            </w:r>
          </w:p>
        </w:tc>
      </w:tr>
      <w:tr>
        <w:trPr>
          <w:trHeight w:val="784" w:hRule="exact"/>
        </w:trPr>
        <w:tc>
          <w:tcPr>
            <w:tcW w:w="1998" w:type="dxa"/>
            <w:tcBorders>
              <w:left w:val="nil"/>
            </w:tcBorders>
          </w:tcPr>
          <w:p>
            <w:pPr>
              <w:pStyle w:val="TableParagraph"/>
              <w:spacing w:line="244" w:lineRule="auto"/>
              <w:ind w:left="108" w:right="685"/>
              <w:rPr>
                <w:b/>
                <w:sz w:val="22"/>
                <w:u w:val="none"/>
              </w:rPr>
            </w:pPr>
            <w:r>
              <w:rPr>
                <w:b/>
                <w:sz w:val="22"/>
                <w:u w:val="none"/>
              </w:rPr>
              <w:t>Section 0755 (Revised)</w:t>
            </w:r>
          </w:p>
        </w:tc>
        <w:tc>
          <w:tcPr>
            <w:tcW w:w="7463" w:type="dxa"/>
            <w:tcBorders>
              <w:right w:val="nil"/>
            </w:tcBorders>
          </w:tcPr>
          <w:p>
            <w:pPr>
              <w:pStyle w:val="TableParagraph"/>
              <w:ind w:left="103" w:hanging="1"/>
              <w:rPr>
                <w:sz w:val="22"/>
                <w:u w:val="none"/>
              </w:rPr>
            </w:pPr>
            <w:r>
              <w:rPr>
                <w:b/>
                <w:sz w:val="22"/>
                <w:u w:val="thick"/>
              </w:rPr>
              <w:t>Reimbursement for Parking Charges, </w:t>
            </w:r>
            <w:r>
              <w:rPr>
                <w:sz w:val="22"/>
                <w:u w:val="none"/>
              </w:rPr>
              <w:t>revise dollar amount from $6 to $10 dollars.</w:t>
            </w:r>
          </w:p>
        </w:tc>
      </w:tr>
      <w:tr>
        <w:trPr>
          <w:trHeight w:val="784" w:hRule="exact"/>
        </w:trPr>
        <w:tc>
          <w:tcPr>
            <w:tcW w:w="1998" w:type="dxa"/>
            <w:tcBorders>
              <w:left w:val="nil"/>
            </w:tcBorders>
          </w:tcPr>
          <w:p>
            <w:pPr>
              <w:pStyle w:val="TableParagraph"/>
              <w:spacing w:line="244" w:lineRule="auto"/>
              <w:ind w:left="108" w:right="520"/>
              <w:rPr>
                <w:b/>
                <w:sz w:val="22"/>
                <w:u w:val="none"/>
              </w:rPr>
            </w:pPr>
            <w:r>
              <w:rPr>
                <w:b/>
                <w:sz w:val="22"/>
                <w:u w:val="none"/>
              </w:rPr>
              <w:t>Section 1310.3 (Revised)</w:t>
            </w:r>
          </w:p>
        </w:tc>
        <w:tc>
          <w:tcPr>
            <w:tcW w:w="7463" w:type="dxa"/>
            <w:tcBorders>
              <w:right w:val="nil"/>
            </w:tcBorders>
          </w:tcPr>
          <w:p>
            <w:pPr>
              <w:pStyle w:val="TableParagraph"/>
              <w:spacing w:line="244" w:lineRule="auto"/>
              <w:ind w:left="103" w:right="538"/>
              <w:rPr>
                <w:sz w:val="22"/>
                <w:u w:val="none"/>
              </w:rPr>
            </w:pPr>
            <w:r>
              <w:rPr>
                <w:b/>
                <w:sz w:val="22"/>
                <w:u w:val="thick"/>
              </w:rPr>
              <w:t>Portfolio Management, Long Range Planning, and Policy and Standards Section, </w:t>
            </w:r>
            <w:r>
              <w:rPr>
                <w:sz w:val="22"/>
                <w:u w:val="none"/>
              </w:rPr>
              <w:t>edited to reference the new Government Code Section.</w:t>
            </w:r>
          </w:p>
        </w:tc>
      </w:tr>
      <w:tr>
        <w:trPr>
          <w:trHeight w:val="1032" w:hRule="exact"/>
        </w:trPr>
        <w:tc>
          <w:tcPr>
            <w:tcW w:w="1998" w:type="dxa"/>
            <w:tcBorders>
              <w:left w:val="nil"/>
            </w:tcBorders>
          </w:tcPr>
          <w:p>
            <w:pPr>
              <w:pStyle w:val="TableParagraph"/>
              <w:spacing w:line="244" w:lineRule="auto"/>
              <w:ind w:left="108" w:right="325"/>
              <w:rPr>
                <w:b/>
                <w:sz w:val="22"/>
                <w:u w:val="none"/>
              </w:rPr>
            </w:pPr>
            <w:r>
              <w:rPr>
                <w:b/>
                <w:sz w:val="22"/>
                <w:u w:val="none"/>
              </w:rPr>
              <w:t>Sections 1321.14 (Revised)</w:t>
            </w:r>
          </w:p>
        </w:tc>
        <w:tc>
          <w:tcPr>
            <w:tcW w:w="7463" w:type="dxa"/>
            <w:tcBorders>
              <w:right w:val="nil"/>
            </w:tcBorders>
          </w:tcPr>
          <w:p>
            <w:pPr>
              <w:pStyle w:val="TableParagraph"/>
              <w:ind w:left="103" w:right="425"/>
              <w:rPr>
                <w:sz w:val="22"/>
                <w:u w:val="none"/>
              </w:rPr>
            </w:pPr>
            <w:r>
              <w:rPr>
                <w:b/>
                <w:sz w:val="22"/>
                <w:u w:val="thick"/>
              </w:rPr>
              <w:t>State Space Allowances Standards, </w:t>
            </w:r>
            <w:r>
              <w:rPr>
                <w:sz w:val="22"/>
                <w:u w:val="none"/>
              </w:rPr>
              <w:t>revised to reflect changes negotiated between the administration and employee bargaining units during the previous round of contract negotiations (January 2002).</w:t>
            </w:r>
          </w:p>
        </w:tc>
      </w:tr>
      <w:tr>
        <w:trPr>
          <w:trHeight w:val="1032" w:hRule="exact"/>
        </w:trPr>
        <w:tc>
          <w:tcPr>
            <w:tcW w:w="1998" w:type="dxa"/>
            <w:tcBorders>
              <w:left w:val="nil"/>
            </w:tcBorders>
          </w:tcPr>
          <w:p>
            <w:pPr>
              <w:pStyle w:val="TableParagraph"/>
              <w:spacing w:line="244" w:lineRule="auto"/>
              <w:ind w:left="108" w:right="410"/>
              <w:rPr>
                <w:b/>
                <w:sz w:val="22"/>
                <w:u w:val="none"/>
              </w:rPr>
            </w:pPr>
            <w:r>
              <w:rPr>
                <w:b/>
                <w:sz w:val="22"/>
                <w:u w:val="none"/>
              </w:rPr>
              <w:t>Section 1321.15 (Revised)</w:t>
            </w:r>
          </w:p>
        </w:tc>
        <w:tc>
          <w:tcPr>
            <w:tcW w:w="7463" w:type="dxa"/>
            <w:tcBorders>
              <w:right w:val="nil"/>
            </w:tcBorders>
          </w:tcPr>
          <w:p>
            <w:pPr>
              <w:pStyle w:val="TableParagraph"/>
              <w:ind w:left="103" w:right="224"/>
              <w:rPr>
                <w:sz w:val="22"/>
                <w:u w:val="none"/>
              </w:rPr>
            </w:pPr>
            <w:r>
              <w:rPr>
                <w:b/>
                <w:sz w:val="22"/>
                <w:u w:val="thick"/>
              </w:rPr>
              <w:t>Alternative Office Strategies, </w:t>
            </w:r>
            <w:r>
              <w:rPr>
                <w:sz w:val="22"/>
                <w:u w:val="none"/>
              </w:rPr>
              <w:t>revised to reflect changes negotiated between the administration and employee bargaining units during the previous round of contract negotiations (January 2002).</w:t>
            </w:r>
          </w:p>
        </w:tc>
      </w:tr>
      <w:tr>
        <w:trPr>
          <w:trHeight w:val="784" w:hRule="exact"/>
        </w:trPr>
        <w:tc>
          <w:tcPr>
            <w:tcW w:w="1998" w:type="dxa"/>
            <w:tcBorders>
              <w:left w:val="nil"/>
            </w:tcBorders>
          </w:tcPr>
          <w:p>
            <w:pPr>
              <w:pStyle w:val="TableParagraph"/>
              <w:ind w:left="108"/>
              <w:rPr>
                <w:b/>
                <w:sz w:val="22"/>
                <w:u w:val="none"/>
              </w:rPr>
            </w:pPr>
            <w:r>
              <w:rPr>
                <w:b/>
                <w:sz w:val="22"/>
                <w:u w:val="none"/>
              </w:rPr>
              <w:t>3500-3700 Index</w:t>
            </w:r>
          </w:p>
          <w:p>
            <w:pPr>
              <w:pStyle w:val="TableParagraph"/>
              <w:ind w:left="108"/>
              <w:rPr>
                <w:b/>
                <w:sz w:val="22"/>
                <w:u w:val="none"/>
              </w:rPr>
            </w:pPr>
            <w:r>
              <w:rPr>
                <w:b/>
                <w:sz w:val="22"/>
                <w:u w:val="none"/>
              </w:rPr>
              <w:t>(Revised)</w:t>
            </w:r>
          </w:p>
        </w:tc>
        <w:tc>
          <w:tcPr>
            <w:tcW w:w="7463" w:type="dxa"/>
            <w:tcBorders>
              <w:right w:val="nil"/>
            </w:tcBorders>
          </w:tcPr>
          <w:p>
            <w:pPr>
              <w:pStyle w:val="TableParagraph"/>
              <w:ind w:left="103" w:right="816"/>
              <w:rPr>
                <w:sz w:val="22"/>
                <w:u w:val="none"/>
              </w:rPr>
            </w:pPr>
            <w:r>
              <w:rPr>
                <w:b/>
                <w:sz w:val="22"/>
                <w:u w:val="thick"/>
              </w:rPr>
              <w:t>Section 3506 Delegated Authority, </w:t>
            </w:r>
            <w:r>
              <w:rPr>
                <w:sz w:val="22"/>
                <w:u w:val="none"/>
              </w:rPr>
              <w:t>revised to update name change to the Purchasing Authority.</w:t>
            </w:r>
          </w:p>
        </w:tc>
      </w:tr>
      <w:tr>
        <w:trPr>
          <w:trHeight w:val="778" w:hRule="exact"/>
        </w:trPr>
        <w:tc>
          <w:tcPr>
            <w:tcW w:w="1998" w:type="dxa"/>
            <w:tcBorders>
              <w:left w:val="nil"/>
              <w:right w:val="nil"/>
            </w:tcBorders>
          </w:tcPr>
          <w:p>
            <w:pPr>
              <w:pStyle w:val="TableParagraph"/>
              <w:spacing w:line="244" w:lineRule="auto"/>
              <w:ind w:left="108" w:right="690"/>
              <w:rPr>
                <w:b/>
                <w:sz w:val="22"/>
                <w:u w:val="none"/>
              </w:rPr>
            </w:pPr>
            <w:r>
              <w:rPr>
                <w:b/>
                <w:sz w:val="22"/>
                <w:u w:val="none"/>
              </w:rPr>
              <w:t>Section 3506 (Revised)</w:t>
            </w:r>
          </w:p>
        </w:tc>
        <w:tc>
          <w:tcPr>
            <w:tcW w:w="7463" w:type="dxa"/>
            <w:tcBorders>
              <w:left w:val="nil"/>
              <w:right w:val="nil"/>
            </w:tcBorders>
          </w:tcPr>
          <w:p>
            <w:pPr>
              <w:pStyle w:val="TableParagraph"/>
              <w:ind w:left="108"/>
              <w:rPr>
                <w:b/>
                <w:sz w:val="22"/>
                <w:u w:val="none"/>
              </w:rPr>
            </w:pPr>
            <w:r>
              <w:rPr>
                <w:b/>
                <w:sz w:val="22"/>
                <w:u w:val="thick"/>
              </w:rPr>
              <w:t>Delegated Authority, </w:t>
            </w:r>
            <w:r>
              <w:rPr>
                <w:sz w:val="22"/>
                <w:u w:val="none"/>
              </w:rPr>
              <w:t>revised to update name change to </w:t>
            </w:r>
            <w:r>
              <w:rPr>
                <w:b/>
                <w:sz w:val="22"/>
                <w:u w:val="none"/>
              </w:rPr>
              <w:t>Purchasing Authority</w:t>
            </w:r>
          </w:p>
          <w:p>
            <w:pPr>
              <w:pStyle w:val="TableParagraph"/>
              <w:spacing w:before="1"/>
              <w:ind w:left="108"/>
              <w:rPr>
                <w:sz w:val="22"/>
                <w:u w:val="none"/>
              </w:rPr>
            </w:pPr>
            <w:r>
              <w:rPr>
                <w:sz w:val="22"/>
                <w:u w:val="none"/>
              </w:rPr>
              <w:t>along with information pertaining to section.</w:t>
            </w:r>
          </w:p>
        </w:tc>
      </w:tr>
      <w:tr>
        <w:trPr>
          <w:trHeight w:val="1795" w:hRule="exact"/>
        </w:trPr>
        <w:tc>
          <w:tcPr>
            <w:tcW w:w="1998" w:type="dxa"/>
            <w:tcBorders>
              <w:left w:val="nil"/>
              <w:right w:val="nil"/>
            </w:tcBorders>
          </w:tcPr>
          <w:p>
            <w:pPr>
              <w:pStyle w:val="TableParagraph"/>
              <w:ind w:left="108"/>
              <w:rPr>
                <w:b/>
                <w:sz w:val="22"/>
                <w:u w:val="none"/>
              </w:rPr>
            </w:pPr>
            <w:r>
              <w:rPr>
                <w:b/>
                <w:sz w:val="22"/>
                <w:u w:val="none"/>
              </w:rPr>
              <w:t>Chapter 4500</w:t>
            </w:r>
          </w:p>
        </w:tc>
        <w:tc>
          <w:tcPr>
            <w:tcW w:w="7463" w:type="dxa"/>
            <w:tcBorders>
              <w:left w:val="nil"/>
              <w:right w:val="nil"/>
            </w:tcBorders>
          </w:tcPr>
          <w:p>
            <w:pPr>
              <w:pStyle w:val="TableParagraph"/>
              <w:ind w:left="108" w:right="363" w:hanging="1"/>
              <w:rPr>
                <w:sz w:val="22"/>
                <w:u w:val="none"/>
              </w:rPr>
            </w:pPr>
            <w:r>
              <w:rPr>
                <w:b/>
                <w:sz w:val="22"/>
                <w:u w:val="thick"/>
              </w:rPr>
              <w:t>Telecommunications, </w:t>
            </w:r>
            <w:r>
              <w:rPr>
                <w:sz w:val="22"/>
                <w:u w:val="none"/>
              </w:rPr>
              <w:t>is modified to reflect the changes to organization and responsibilities brought about by the passage of the Governor’s Reorganization Plan Number 2. This plan establishes the Department of Technology Services and moved the oversight and management of business communications to this new department. Public Safety communications oversight and management remain with the Department of General Services.</w:t>
            </w:r>
          </w:p>
        </w:tc>
      </w:tr>
      <w:tr>
        <w:trPr>
          <w:trHeight w:val="782" w:hRule="exact"/>
        </w:trPr>
        <w:tc>
          <w:tcPr>
            <w:tcW w:w="1998" w:type="dxa"/>
            <w:tcBorders>
              <w:left w:val="nil"/>
              <w:right w:val="nil"/>
            </w:tcBorders>
          </w:tcPr>
          <w:p>
            <w:pPr>
              <w:pStyle w:val="TableParagraph"/>
              <w:ind w:left="108"/>
              <w:rPr>
                <w:b/>
                <w:sz w:val="22"/>
                <w:u w:val="none"/>
              </w:rPr>
            </w:pPr>
            <w:r>
              <w:rPr>
                <w:b/>
                <w:sz w:val="22"/>
                <w:u w:val="none"/>
              </w:rPr>
              <w:t>5200 Index</w:t>
            </w:r>
          </w:p>
        </w:tc>
        <w:tc>
          <w:tcPr>
            <w:tcW w:w="7463" w:type="dxa"/>
            <w:tcBorders>
              <w:left w:val="nil"/>
              <w:right w:val="nil"/>
            </w:tcBorders>
          </w:tcPr>
          <w:p>
            <w:pPr>
              <w:pStyle w:val="TableParagraph"/>
              <w:spacing w:line="244" w:lineRule="auto"/>
              <w:ind w:left="107" w:right="279"/>
              <w:rPr>
                <w:sz w:val="22"/>
                <w:u w:val="none"/>
              </w:rPr>
            </w:pPr>
            <w:r>
              <w:rPr>
                <w:b/>
                <w:sz w:val="22"/>
                <w:u w:val="thick"/>
              </w:rPr>
              <w:t>Section 5210.1 Delegation of Procurement Authority, </w:t>
            </w:r>
            <w:r>
              <w:rPr>
                <w:sz w:val="22"/>
                <w:u w:val="none"/>
              </w:rPr>
              <w:t>revised to update name change to </w:t>
            </w:r>
            <w:r>
              <w:rPr>
                <w:b/>
                <w:sz w:val="22"/>
                <w:u w:val="none"/>
              </w:rPr>
              <w:t>Purchasing Authority</w:t>
            </w:r>
            <w:r>
              <w:rPr>
                <w:sz w:val="22"/>
                <w:u w:val="none"/>
              </w:rPr>
              <w:t>, along with information pertaining to section.</w:t>
            </w:r>
          </w:p>
        </w:tc>
      </w:tr>
      <w:tr>
        <w:trPr>
          <w:trHeight w:val="782" w:hRule="exact"/>
        </w:trPr>
        <w:tc>
          <w:tcPr>
            <w:tcW w:w="1998" w:type="dxa"/>
            <w:tcBorders>
              <w:left w:val="nil"/>
              <w:right w:val="nil"/>
            </w:tcBorders>
          </w:tcPr>
          <w:p>
            <w:pPr>
              <w:pStyle w:val="TableParagraph"/>
              <w:ind w:left="108"/>
              <w:rPr>
                <w:b/>
                <w:sz w:val="22"/>
                <w:u w:val="none"/>
              </w:rPr>
            </w:pPr>
            <w:r>
              <w:rPr>
                <w:b/>
                <w:sz w:val="22"/>
                <w:u w:val="none"/>
              </w:rPr>
              <w:t>Section 5210.1</w:t>
            </w:r>
          </w:p>
        </w:tc>
        <w:tc>
          <w:tcPr>
            <w:tcW w:w="7463" w:type="dxa"/>
            <w:tcBorders>
              <w:left w:val="nil"/>
              <w:right w:val="nil"/>
            </w:tcBorders>
          </w:tcPr>
          <w:p>
            <w:pPr>
              <w:pStyle w:val="TableParagraph"/>
              <w:ind w:left="108"/>
              <w:rPr>
                <w:sz w:val="22"/>
                <w:u w:val="none"/>
              </w:rPr>
            </w:pPr>
            <w:r>
              <w:rPr>
                <w:b/>
                <w:sz w:val="22"/>
                <w:u w:val="thick"/>
              </w:rPr>
              <w:t>Delegation of Procurement Authority, </w:t>
            </w:r>
            <w:r>
              <w:rPr>
                <w:sz w:val="22"/>
                <w:u w:val="none"/>
              </w:rPr>
              <w:t>revised to update name change to</w:t>
            </w:r>
          </w:p>
          <w:p>
            <w:pPr>
              <w:pStyle w:val="TableParagraph"/>
              <w:spacing w:before="5"/>
              <w:ind w:left="108"/>
              <w:rPr>
                <w:sz w:val="22"/>
                <w:u w:val="none"/>
              </w:rPr>
            </w:pPr>
            <w:r>
              <w:rPr>
                <w:b/>
                <w:sz w:val="22"/>
                <w:u w:val="none"/>
              </w:rPr>
              <w:t>Purchasing Authority</w:t>
            </w:r>
            <w:r>
              <w:rPr>
                <w:sz w:val="22"/>
                <w:u w:val="none"/>
              </w:rPr>
              <w:t>, along with information pertaining to section.</w:t>
            </w:r>
          </w:p>
        </w:tc>
      </w:tr>
    </w:tbl>
    <w:p>
      <w:pPr>
        <w:pStyle w:val="BodyText"/>
        <w:rPr>
          <w:sz w:val="20"/>
        </w:rPr>
      </w:pPr>
    </w:p>
    <w:p>
      <w:pPr>
        <w:pStyle w:val="BodyText"/>
        <w:rPr>
          <w:sz w:val="20"/>
        </w:rPr>
      </w:pPr>
    </w:p>
    <w:p>
      <w:pPr>
        <w:pStyle w:val="BodyText"/>
        <w:rPr>
          <w:sz w:val="20"/>
        </w:rPr>
      </w:pPr>
    </w:p>
    <w:p>
      <w:pPr>
        <w:pStyle w:val="BodyText"/>
        <w:spacing w:before="3"/>
      </w:pPr>
    </w:p>
    <w:p>
      <w:pPr>
        <w:spacing w:before="90"/>
        <w:ind w:left="2863" w:right="0" w:firstLine="0"/>
        <w:jc w:val="left"/>
        <w:rPr>
          <w:b/>
          <w:sz w:val="22"/>
        </w:rPr>
      </w:pPr>
      <w:r>
        <w:rPr>
          <w:b/>
          <w:sz w:val="22"/>
        </w:rPr>
        <w:t>REVISION SEQUENCE INSTRUCTIONS</w:t>
      </w:r>
    </w:p>
    <w:p>
      <w:pPr>
        <w:spacing w:after="0"/>
        <w:jc w:val="left"/>
        <w:rPr>
          <w:sz w:val="22"/>
        </w:rPr>
        <w:sectPr>
          <w:footerReference w:type="default" r:id="rId5"/>
          <w:type w:val="continuous"/>
          <w:pgSz w:w="12240" w:h="15840"/>
          <w:pgMar w:footer="742" w:top="640" w:bottom="940" w:left="1220" w:right="1340"/>
        </w:sectPr>
      </w:pPr>
    </w:p>
    <w:p>
      <w:pPr>
        <w:pStyle w:val="BodyText"/>
        <w:spacing w:before="80"/>
        <w:ind w:left="220" w:right="125"/>
      </w:pPr>
      <w:r>
        <w:rPr/>
        <w:t>The SAM is undergoing a format transition. Therefore, page numbers are either at the center bottom or upper right corner of the page.</w:t>
      </w:r>
    </w:p>
    <w:p>
      <w:pPr>
        <w:pStyle w:val="BodyText"/>
        <w:spacing w:before="5" w:after="1"/>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jc w:val="center"/>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jc w:val="center"/>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jc w:val="center"/>
              <w:rPr>
                <w:b/>
                <w:sz w:val="22"/>
                <w:u w:val="none"/>
              </w:rPr>
            </w:pPr>
            <w:r>
              <w:rPr>
                <w:b/>
                <w:sz w:val="22"/>
                <w:u w:val="none"/>
              </w:rPr>
              <w:t>Sheets</w:t>
            </w:r>
          </w:p>
        </w:tc>
      </w:tr>
      <w:tr>
        <w:trPr>
          <w:trHeight w:val="526" w:hRule="exact"/>
        </w:trPr>
        <w:tc>
          <w:tcPr>
            <w:tcW w:w="3530" w:type="dxa"/>
          </w:tcPr>
          <w:p>
            <w:pPr>
              <w:pStyle w:val="TableParagraph"/>
              <w:ind w:left="103"/>
              <w:rPr>
                <w:b/>
                <w:sz w:val="22"/>
                <w:u w:val="none"/>
              </w:rPr>
            </w:pPr>
            <w:r>
              <w:rPr>
                <w:b/>
                <w:sz w:val="22"/>
                <w:u w:val="none"/>
              </w:rPr>
              <w:t>0030 through 0030 (Cont. 4)</w:t>
            </w:r>
          </w:p>
        </w:tc>
        <w:tc>
          <w:tcPr>
            <w:tcW w:w="1710" w:type="dxa"/>
          </w:tcPr>
          <w:p>
            <w:pPr>
              <w:pStyle w:val="TableParagraph"/>
              <w:jc w:val="center"/>
              <w:rPr>
                <w:b/>
                <w:sz w:val="22"/>
                <w:u w:val="none"/>
              </w:rPr>
            </w:pPr>
            <w:r>
              <w:rPr>
                <w:b/>
                <w:w w:val="99"/>
                <w:sz w:val="22"/>
                <w:u w:val="none"/>
              </w:rPr>
              <w:t>3</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spacing w:line="240" w:lineRule="exact" w:before="0"/>
              <w:jc w:val="center"/>
              <w:rPr>
                <w:b/>
                <w:sz w:val="22"/>
                <w:u w:val="none"/>
              </w:rPr>
            </w:pPr>
            <w:r>
              <w:rPr>
                <w:b/>
                <w:w w:val="99"/>
                <w:sz w:val="22"/>
                <w:u w:val="none"/>
              </w:rPr>
              <w:t>3</w:t>
            </w:r>
          </w:p>
        </w:tc>
      </w:tr>
      <w:tr>
        <w:trPr>
          <w:trHeight w:val="526" w:hRule="exact"/>
        </w:trPr>
        <w:tc>
          <w:tcPr>
            <w:tcW w:w="3530" w:type="dxa"/>
          </w:tcPr>
          <w:p>
            <w:pPr>
              <w:pStyle w:val="TableParagraph"/>
              <w:ind w:left="103"/>
              <w:rPr>
                <w:b/>
                <w:sz w:val="22"/>
                <w:u w:val="none"/>
              </w:rPr>
            </w:pPr>
            <w:r>
              <w:rPr>
                <w:b/>
                <w:sz w:val="22"/>
                <w:u w:val="none"/>
              </w:rPr>
              <w:t>0754</w:t>
            </w:r>
          </w:p>
        </w:tc>
        <w:tc>
          <w:tcPr>
            <w:tcW w:w="1710" w:type="dxa"/>
          </w:tcPr>
          <w:p>
            <w:pPr>
              <w:pStyle w:val="TableParagraph"/>
              <w:ind w:right="1"/>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1</w:t>
            </w:r>
          </w:p>
        </w:tc>
      </w:tr>
      <w:tr>
        <w:trPr>
          <w:trHeight w:val="526" w:hRule="exact"/>
        </w:trPr>
        <w:tc>
          <w:tcPr>
            <w:tcW w:w="3530" w:type="dxa"/>
          </w:tcPr>
          <w:p>
            <w:pPr>
              <w:pStyle w:val="TableParagraph"/>
              <w:ind w:left="103"/>
              <w:rPr>
                <w:b/>
                <w:sz w:val="22"/>
                <w:u w:val="none"/>
              </w:rPr>
            </w:pPr>
            <w:r>
              <w:rPr>
                <w:b/>
                <w:sz w:val="22"/>
                <w:u w:val="none"/>
              </w:rPr>
              <w:t>1305</w:t>
            </w:r>
          </w:p>
        </w:tc>
        <w:tc>
          <w:tcPr>
            <w:tcW w:w="1710" w:type="dxa"/>
          </w:tcPr>
          <w:p>
            <w:pPr>
              <w:pStyle w:val="TableParagraph"/>
              <w:ind w:right="1"/>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1</w:t>
            </w:r>
          </w:p>
        </w:tc>
      </w:tr>
      <w:tr>
        <w:trPr>
          <w:trHeight w:val="784" w:hRule="exact"/>
        </w:trPr>
        <w:tc>
          <w:tcPr>
            <w:tcW w:w="3530" w:type="dxa"/>
          </w:tcPr>
          <w:p>
            <w:pPr>
              <w:pStyle w:val="TableParagraph"/>
              <w:ind w:left="103"/>
              <w:rPr>
                <w:b/>
                <w:sz w:val="22"/>
                <w:u w:val="none"/>
              </w:rPr>
            </w:pPr>
            <w:r>
              <w:rPr>
                <w:b/>
                <w:sz w:val="22"/>
                <w:u w:val="none"/>
              </w:rPr>
              <w:t>1320.1   (Cont.   1)   through 1322.1</w:t>
            </w:r>
          </w:p>
          <w:p>
            <w:pPr>
              <w:pStyle w:val="TableParagraph"/>
              <w:ind w:left="103"/>
              <w:rPr>
                <w:b/>
                <w:sz w:val="22"/>
                <w:u w:val="none"/>
              </w:rPr>
            </w:pPr>
            <w:r>
              <w:rPr>
                <w:b/>
                <w:sz w:val="22"/>
                <w:u w:val="none"/>
              </w:rPr>
              <w:t>(Cont. 1)</w:t>
            </w:r>
          </w:p>
        </w:tc>
        <w:tc>
          <w:tcPr>
            <w:tcW w:w="1710" w:type="dxa"/>
          </w:tcPr>
          <w:p>
            <w:pPr>
              <w:pStyle w:val="TableParagraph"/>
              <w:ind w:right="1"/>
              <w:jc w:val="center"/>
              <w:rPr>
                <w:b/>
                <w:sz w:val="22"/>
                <w:u w:val="none"/>
              </w:rPr>
            </w:pPr>
            <w:r>
              <w:rPr>
                <w:b/>
                <w:w w:val="99"/>
                <w:sz w:val="22"/>
                <w:u w:val="none"/>
              </w:rPr>
              <w:t>3</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3</w:t>
            </w:r>
          </w:p>
        </w:tc>
      </w:tr>
      <w:tr>
        <w:trPr>
          <w:trHeight w:val="526" w:hRule="exact"/>
        </w:trPr>
        <w:tc>
          <w:tcPr>
            <w:tcW w:w="3530" w:type="dxa"/>
          </w:tcPr>
          <w:p>
            <w:pPr>
              <w:pStyle w:val="TableParagraph"/>
              <w:ind w:left="103"/>
              <w:rPr>
                <w:b/>
                <w:sz w:val="22"/>
                <w:u w:val="none"/>
              </w:rPr>
            </w:pPr>
            <w:r>
              <w:rPr>
                <w:b/>
                <w:sz w:val="22"/>
                <w:u w:val="none"/>
              </w:rPr>
              <w:t>3500-3700 Index</w:t>
            </w:r>
          </w:p>
        </w:tc>
        <w:tc>
          <w:tcPr>
            <w:tcW w:w="1710" w:type="dxa"/>
          </w:tcPr>
          <w:p>
            <w:pPr>
              <w:pStyle w:val="TableParagraph"/>
              <w:ind w:right="1"/>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jc w:val="center"/>
              <w:rPr>
                <w:b/>
                <w:sz w:val="22"/>
                <w:u w:val="none"/>
              </w:rPr>
            </w:pPr>
            <w:r>
              <w:rPr>
                <w:b/>
                <w:w w:val="99"/>
                <w:sz w:val="22"/>
                <w:u w:val="none"/>
              </w:rPr>
              <w:t>1</w:t>
            </w:r>
          </w:p>
        </w:tc>
      </w:tr>
      <w:tr>
        <w:trPr>
          <w:trHeight w:val="526" w:hRule="exact"/>
        </w:trPr>
        <w:tc>
          <w:tcPr>
            <w:tcW w:w="3530" w:type="dxa"/>
          </w:tcPr>
          <w:p>
            <w:pPr>
              <w:pStyle w:val="TableParagraph"/>
              <w:ind w:left="103"/>
              <w:rPr>
                <w:b/>
                <w:sz w:val="22"/>
                <w:u w:val="none"/>
              </w:rPr>
            </w:pPr>
            <w:r>
              <w:rPr>
                <w:b/>
                <w:sz w:val="22"/>
                <w:u w:val="none"/>
              </w:rPr>
              <w:t>3505</w:t>
            </w:r>
          </w:p>
        </w:tc>
        <w:tc>
          <w:tcPr>
            <w:tcW w:w="1710" w:type="dxa"/>
          </w:tcPr>
          <w:p>
            <w:pPr>
              <w:pStyle w:val="TableParagraph"/>
              <w:ind w:right="1"/>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1</w:t>
            </w:r>
          </w:p>
        </w:tc>
      </w:tr>
      <w:tr>
        <w:trPr>
          <w:trHeight w:val="526" w:hRule="exact"/>
        </w:trPr>
        <w:tc>
          <w:tcPr>
            <w:tcW w:w="3530" w:type="dxa"/>
          </w:tcPr>
          <w:p>
            <w:pPr>
              <w:pStyle w:val="TableParagraph"/>
              <w:ind w:left="103"/>
              <w:rPr>
                <w:b/>
                <w:sz w:val="22"/>
                <w:u w:val="none"/>
              </w:rPr>
            </w:pPr>
            <w:r>
              <w:rPr>
                <w:b/>
                <w:sz w:val="22"/>
                <w:u w:val="none"/>
              </w:rPr>
              <w:t>4500 Index through 4535</w:t>
            </w:r>
          </w:p>
        </w:tc>
        <w:tc>
          <w:tcPr>
            <w:tcW w:w="1710" w:type="dxa"/>
          </w:tcPr>
          <w:p>
            <w:pPr>
              <w:pStyle w:val="TableParagraph"/>
              <w:ind w:right="1"/>
              <w:jc w:val="center"/>
              <w:rPr>
                <w:b/>
                <w:sz w:val="22"/>
                <w:u w:val="none"/>
              </w:rPr>
            </w:pPr>
            <w:r>
              <w:rPr>
                <w:b/>
                <w:w w:val="99"/>
                <w:sz w:val="22"/>
                <w:u w:val="none"/>
              </w:rPr>
              <w:t>4</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4</w:t>
            </w:r>
          </w:p>
        </w:tc>
      </w:tr>
      <w:tr>
        <w:trPr>
          <w:trHeight w:val="526" w:hRule="exact"/>
        </w:trPr>
        <w:tc>
          <w:tcPr>
            <w:tcW w:w="3530" w:type="dxa"/>
          </w:tcPr>
          <w:p>
            <w:pPr>
              <w:pStyle w:val="TableParagraph"/>
              <w:ind w:left="103"/>
              <w:rPr>
                <w:b/>
                <w:sz w:val="22"/>
                <w:u w:val="none"/>
              </w:rPr>
            </w:pPr>
            <w:r>
              <w:rPr>
                <w:b/>
                <w:sz w:val="22"/>
                <w:u w:val="none"/>
              </w:rPr>
              <w:t>5200 Index</w:t>
            </w:r>
          </w:p>
        </w:tc>
        <w:tc>
          <w:tcPr>
            <w:tcW w:w="1710" w:type="dxa"/>
          </w:tcPr>
          <w:p>
            <w:pPr>
              <w:pStyle w:val="TableParagraph"/>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jc w:val="center"/>
              <w:rPr>
                <w:b/>
                <w:sz w:val="22"/>
                <w:u w:val="none"/>
              </w:rPr>
            </w:pPr>
            <w:r>
              <w:rPr>
                <w:b/>
                <w:w w:val="99"/>
                <w:sz w:val="22"/>
                <w:u w:val="none"/>
              </w:rPr>
              <w:t>1</w:t>
            </w:r>
          </w:p>
        </w:tc>
      </w:tr>
      <w:tr>
        <w:trPr>
          <w:trHeight w:val="528" w:hRule="exact"/>
        </w:trPr>
        <w:tc>
          <w:tcPr>
            <w:tcW w:w="3530" w:type="dxa"/>
          </w:tcPr>
          <w:p>
            <w:pPr>
              <w:pStyle w:val="TableParagraph"/>
              <w:ind w:left="103"/>
              <w:rPr>
                <w:b/>
                <w:sz w:val="22"/>
                <w:u w:val="none"/>
              </w:rPr>
            </w:pPr>
            <w:r>
              <w:rPr>
                <w:b/>
                <w:sz w:val="22"/>
                <w:u w:val="none"/>
              </w:rPr>
              <w:t>5210.1</w:t>
            </w:r>
          </w:p>
        </w:tc>
        <w:tc>
          <w:tcPr>
            <w:tcW w:w="1710" w:type="dxa"/>
          </w:tcPr>
          <w:p>
            <w:pPr>
              <w:pStyle w:val="TableParagraph"/>
              <w:ind w:right="1"/>
              <w:jc w:val="center"/>
              <w:rPr>
                <w:b/>
                <w:sz w:val="22"/>
                <w:u w:val="none"/>
              </w:rPr>
            </w:pPr>
            <w:r>
              <w:rPr>
                <w:b/>
                <w:w w:val="99"/>
                <w:sz w:val="22"/>
                <w:u w:val="none"/>
              </w:rPr>
              <w:t>1</w:t>
            </w:r>
          </w:p>
        </w:tc>
        <w:tc>
          <w:tcPr>
            <w:tcW w:w="2610" w:type="dxa"/>
          </w:tcPr>
          <w:p>
            <w:pPr>
              <w:pStyle w:val="TableParagraph"/>
              <w:ind w:left="962" w:right="962"/>
              <w:jc w:val="center"/>
              <w:rPr>
                <w:b/>
                <w:sz w:val="22"/>
                <w:u w:val="none"/>
              </w:rPr>
            </w:pPr>
            <w:r>
              <w:rPr>
                <w:b/>
                <w:sz w:val="22"/>
                <w:u w:val="none"/>
              </w:rPr>
              <w:t>SAME</w:t>
            </w:r>
          </w:p>
        </w:tc>
        <w:tc>
          <w:tcPr>
            <w:tcW w:w="1802" w:type="dxa"/>
          </w:tcPr>
          <w:p>
            <w:pPr>
              <w:pStyle w:val="TableParagraph"/>
              <w:ind w:right="1"/>
              <w:jc w:val="center"/>
              <w:rPr>
                <w:b/>
                <w:sz w:val="22"/>
                <w:u w:val="none"/>
              </w:rPr>
            </w:pPr>
            <w:r>
              <w:rPr>
                <w:b/>
                <w:w w:val="99"/>
                <w:sz w:val="22"/>
                <w:u w:val="none"/>
              </w:rPr>
              <w:t>1</w:t>
            </w:r>
          </w:p>
        </w:tc>
      </w:tr>
    </w:tbl>
    <w:sectPr>
      <w:pgSz w:w="12240" w:h="15840"/>
      <w:pgMar w:header="0" w:footer="742" w:top="64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7000" type="#_x0000_t202" filled="false" stroked="false">
          <v:textbox inset="0,0,0,0">
            <w:txbxContent>
              <w:p>
                <w:pPr>
                  <w:spacing w:before="12"/>
                  <w:ind w:left="20" w:right="0" w:firstLine="0"/>
                  <w:jc w:val="left"/>
                  <w:rPr>
                    <w:b/>
                    <w:sz w:val="20"/>
                  </w:rPr>
                </w:pPr>
                <w:r>
                  <w:rPr>
                    <w:b/>
                    <w:sz w:val="20"/>
                  </w:rPr>
                  <w:t>Rev. 393</w:t>
                </w:r>
              </w:p>
            </w:txbxContent>
          </v:textbox>
          <w10:wrap type="none"/>
        </v:shape>
      </w:pict>
    </w:r>
    <w:r>
      <w:rPr/>
      <w:pict>
        <v:shape style="position:absolute;margin-left:477.270935pt;margin-top:743.911072pt;width:63.75pt;height:13.1pt;mso-position-horizontal-relative:page;mso-position-vertical-relative:page;z-index:-6976" type="#_x0000_t202" filled="false" stroked="false">
          <v:textbox inset="0,0,0,0">
            <w:txbxContent>
              <w:p>
                <w:pPr>
                  <w:spacing w:before="12"/>
                  <w:ind w:left="20" w:right="0" w:firstLine="0"/>
                  <w:jc w:val="left"/>
                  <w:rPr>
                    <w:b/>
                    <w:sz w:val="20"/>
                  </w:rPr>
                </w:pPr>
                <w:r>
                  <w:rPr>
                    <w:b/>
                    <w:sz w:val="20"/>
                  </w:rPr>
                  <w:t>MARCH 2006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2020-07-14T11:16:53Z</dcterms:created>
  <dcterms:modified xsi:type="dcterms:W3CDTF">2020-07-14T11:16:53Z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2007-05-17T00:00:00Z</vt:filetime>
  </property>
  <property fmtid="{D5CDD505-2E9C-101B-9397-08002B2CF9AE}" pid="3" name="Creator">
    <vt:lpwstr>Acrobat PDFMaker 7.0 for Word</vt:lpwstr>
  </property>
  <property fmtid="{D5CDD505-2E9C-101B-9397-08002B2CF9AE}" pid="4" name="LastSaved">
    <vt:filetime>2020-07-14T00:00:00Z</vt:filetime>
  </property>
</Properties>
</file>