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6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10"/>
        <w:rPr>
          <w:sz w:val="25"/>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jc w:val="left"/>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3128" w:right="3130"/>
              <w:rPr>
                <w:b/>
                <w:sz w:val="22"/>
                <w:u w:val="none"/>
              </w:rPr>
            </w:pPr>
            <w:r>
              <w:rPr>
                <w:b/>
                <w:sz w:val="22"/>
                <w:u w:val="none"/>
              </w:rPr>
              <w:t>SUMMARY</w:t>
            </w:r>
          </w:p>
        </w:tc>
      </w:tr>
      <w:tr>
        <w:trPr>
          <w:trHeight w:val="526" w:hRule="exact"/>
        </w:trPr>
        <w:tc>
          <w:tcPr>
            <w:tcW w:w="2000" w:type="dxa"/>
          </w:tcPr>
          <w:p>
            <w:pPr>
              <w:pStyle w:val="TableParagraph"/>
              <w:spacing w:line="244" w:lineRule="auto"/>
              <w:ind w:right="939"/>
              <w:jc w:val="left"/>
              <w:rPr>
                <w:b/>
                <w:sz w:val="22"/>
                <w:u w:val="none"/>
              </w:rPr>
            </w:pPr>
            <w:r>
              <w:rPr>
                <w:b/>
                <w:sz w:val="22"/>
                <w:u w:val="none"/>
              </w:rPr>
              <w:t>Directors Foreword</w:t>
            </w:r>
          </w:p>
        </w:tc>
        <w:tc>
          <w:tcPr>
            <w:tcW w:w="7472" w:type="dxa"/>
          </w:tcPr>
          <w:p>
            <w:pPr>
              <w:pStyle w:val="TableParagraph"/>
              <w:jc w:val="left"/>
              <w:rPr>
                <w:sz w:val="22"/>
                <w:u w:val="none"/>
              </w:rPr>
            </w:pPr>
            <w:r>
              <w:rPr>
                <w:b/>
                <w:sz w:val="22"/>
                <w:u w:val="thick"/>
              </w:rPr>
              <w:t>Directors Foreword, </w:t>
            </w:r>
            <w:r>
              <w:rPr>
                <w:sz w:val="22"/>
                <w:u w:val="none"/>
              </w:rPr>
              <w:t>update name of new Interim Director of DGS.</w:t>
            </w:r>
          </w:p>
        </w:tc>
      </w:tr>
      <w:tr>
        <w:trPr>
          <w:trHeight w:val="523" w:hRule="exact"/>
        </w:trPr>
        <w:tc>
          <w:tcPr>
            <w:tcW w:w="2000" w:type="dxa"/>
          </w:tcPr>
          <w:p>
            <w:pPr>
              <w:pStyle w:val="TableParagraph"/>
              <w:jc w:val="left"/>
              <w:rPr>
                <w:b/>
                <w:sz w:val="22"/>
                <w:u w:val="none"/>
              </w:rPr>
            </w:pPr>
            <w:r>
              <w:rPr>
                <w:b/>
                <w:sz w:val="22"/>
                <w:u w:val="none"/>
              </w:rPr>
              <w:t>Subject Index</w:t>
            </w:r>
          </w:p>
        </w:tc>
        <w:tc>
          <w:tcPr>
            <w:tcW w:w="7472" w:type="dxa"/>
          </w:tcPr>
          <w:p>
            <w:pPr>
              <w:pStyle w:val="TableParagraph"/>
              <w:jc w:val="left"/>
              <w:rPr>
                <w:sz w:val="22"/>
                <w:u w:val="none"/>
              </w:rPr>
            </w:pPr>
            <w:r>
              <w:rPr>
                <w:b/>
                <w:sz w:val="22"/>
                <w:u w:val="thick"/>
              </w:rPr>
              <w:t>Subject Index, </w:t>
            </w:r>
            <w:r>
              <w:rPr>
                <w:sz w:val="22"/>
                <w:u w:val="none"/>
              </w:rPr>
              <w:t>update with new changes to Chapter 5200</w:t>
            </w:r>
          </w:p>
        </w:tc>
      </w:tr>
      <w:tr>
        <w:trPr>
          <w:trHeight w:val="778" w:hRule="exact"/>
        </w:trPr>
        <w:tc>
          <w:tcPr>
            <w:tcW w:w="2000" w:type="dxa"/>
          </w:tcPr>
          <w:p>
            <w:pPr>
              <w:pStyle w:val="TableParagraph"/>
              <w:jc w:val="left"/>
              <w:rPr>
                <w:b/>
                <w:sz w:val="22"/>
                <w:u w:val="none"/>
              </w:rPr>
            </w:pPr>
            <w:r>
              <w:rPr>
                <w:b/>
                <w:sz w:val="22"/>
                <w:u w:val="none"/>
              </w:rPr>
              <w:t>0030</w:t>
            </w:r>
          </w:p>
        </w:tc>
        <w:tc>
          <w:tcPr>
            <w:tcW w:w="7472" w:type="dxa"/>
          </w:tcPr>
          <w:p>
            <w:pPr>
              <w:pStyle w:val="TableParagraph"/>
              <w:ind w:left="102" w:right="784"/>
              <w:jc w:val="left"/>
              <w:rPr>
                <w:sz w:val="22"/>
                <w:u w:val="none"/>
              </w:rPr>
            </w:pPr>
            <w:r>
              <w:rPr>
                <w:b/>
                <w:sz w:val="22"/>
                <w:u w:val="thick"/>
              </w:rPr>
              <w:t>SAM Publications and Contacts, </w:t>
            </w:r>
            <w:r>
              <w:rPr>
                <w:sz w:val="22"/>
                <w:u w:val="none"/>
              </w:rPr>
              <w:t>update name and/or Telephone number changes.</w:t>
            </w:r>
          </w:p>
        </w:tc>
      </w:tr>
      <w:tr>
        <w:trPr>
          <w:trHeight w:val="778" w:hRule="exact"/>
        </w:trPr>
        <w:tc>
          <w:tcPr>
            <w:tcW w:w="2000" w:type="dxa"/>
          </w:tcPr>
          <w:p>
            <w:pPr>
              <w:pStyle w:val="TableParagraph"/>
              <w:jc w:val="left"/>
              <w:rPr>
                <w:b/>
                <w:sz w:val="22"/>
                <w:u w:val="none"/>
              </w:rPr>
            </w:pPr>
            <w:r>
              <w:rPr>
                <w:b/>
                <w:sz w:val="22"/>
                <w:u w:val="none"/>
              </w:rPr>
              <w:t>3840</w:t>
            </w:r>
          </w:p>
        </w:tc>
        <w:tc>
          <w:tcPr>
            <w:tcW w:w="7472" w:type="dxa"/>
          </w:tcPr>
          <w:p>
            <w:pPr>
              <w:pStyle w:val="TableParagraph"/>
              <w:ind w:right="429"/>
              <w:jc w:val="left"/>
              <w:rPr>
                <w:sz w:val="22"/>
                <w:u w:val="none"/>
              </w:rPr>
            </w:pPr>
            <w:r>
              <w:rPr>
                <w:b/>
                <w:sz w:val="22"/>
                <w:u w:val="thick"/>
              </w:rPr>
              <w:t>Use of Straight Bill of Lading, STD. 254, </w:t>
            </w:r>
            <w:r>
              <w:rPr>
                <w:sz w:val="22"/>
                <w:u w:val="none"/>
              </w:rPr>
              <w:t>revised to reflect an increase in the freight bill limit for auditing purposes.</w:t>
            </w:r>
          </w:p>
        </w:tc>
      </w:tr>
      <w:tr>
        <w:trPr>
          <w:trHeight w:val="778" w:hRule="exact"/>
        </w:trPr>
        <w:tc>
          <w:tcPr>
            <w:tcW w:w="2000" w:type="dxa"/>
          </w:tcPr>
          <w:p>
            <w:pPr>
              <w:pStyle w:val="TableParagraph"/>
              <w:jc w:val="left"/>
              <w:rPr>
                <w:b/>
                <w:sz w:val="22"/>
                <w:u w:val="none"/>
              </w:rPr>
            </w:pPr>
            <w:r>
              <w:rPr>
                <w:b/>
                <w:sz w:val="22"/>
                <w:u w:val="none"/>
              </w:rPr>
              <w:t>3852</w:t>
            </w:r>
          </w:p>
        </w:tc>
        <w:tc>
          <w:tcPr>
            <w:tcW w:w="7472" w:type="dxa"/>
          </w:tcPr>
          <w:p>
            <w:pPr>
              <w:pStyle w:val="TableParagraph"/>
              <w:ind w:right="148"/>
              <w:jc w:val="left"/>
              <w:rPr>
                <w:sz w:val="22"/>
                <w:u w:val="none"/>
              </w:rPr>
            </w:pPr>
            <w:r>
              <w:rPr>
                <w:b/>
                <w:sz w:val="22"/>
                <w:u w:val="thick"/>
              </w:rPr>
              <w:t>Exemption From Approval, </w:t>
            </w:r>
            <w:r>
              <w:rPr>
                <w:sz w:val="22"/>
                <w:u w:val="none"/>
              </w:rPr>
              <w:t>revised to reflect an increase in the freight bill limit for auditing purposes.</w:t>
            </w:r>
          </w:p>
        </w:tc>
      </w:tr>
      <w:tr>
        <w:trPr>
          <w:trHeight w:val="778" w:hRule="exact"/>
        </w:trPr>
        <w:tc>
          <w:tcPr>
            <w:tcW w:w="2000" w:type="dxa"/>
          </w:tcPr>
          <w:p>
            <w:pPr>
              <w:pStyle w:val="TableParagraph"/>
              <w:jc w:val="left"/>
              <w:rPr>
                <w:b/>
                <w:sz w:val="22"/>
                <w:u w:val="none"/>
              </w:rPr>
            </w:pPr>
            <w:r>
              <w:rPr>
                <w:b/>
                <w:sz w:val="22"/>
                <w:u w:val="none"/>
              </w:rPr>
              <w:t>Chapter 5200</w:t>
            </w:r>
          </w:p>
        </w:tc>
        <w:tc>
          <w:tcPr>
            <w:tcW w:w="7472" w:type="dxa"/>
          </w:tcPr>
          <w:p>
            <w:pPr>
              <w:pStyle w:val="TableParagraph"/>
              <w:ind w:right="429"/>
              <w:jc w:val="left"/>
              <w:rPr>
                <w:sz w:val="22"/>
                <w:u w:val="none"/>
              </w:rPr>
            </w:pPr>
            <w:r>
              <w:rPr>
                <w:b/>
                <w:sz w:val="22"/>
                <w:u w:val="thick"/>
              </w:rPr>
              <w:t>Information Technology, </w:t>
            </w:r>
            <w:r>
              <w:rPr>
                <w:sz w:val="22"/>
                <w:u w:val="none"/>
              </w:rPr>
              <w:t>renumbered section 5211.1 to 5211. Added new sections 5230 – 5230.6</w:t>
            </w:r>
          </w:p>
        </w:tc>
      </w:tr>
      <w:tr>
        <w:trPr>
          <w:trHeight w:val="523" w:hRule="exact"/>
        </w:trPr>
        <w:tc>
          <w:tcPr>
            <w:tcW w:w="2000" w:type="dxa"/>
          </w:tcPr>
          <w:p>
            <w:pPr>
              <w:pStyle w:val="TableParagraph"/>
              <w:jc w:val="left"/>
              <w:rPr>
                <w:b/>
                <w:sz w:val="22"/>
                <w:u w:val="none"/>
              </w:rPr>
            </w:pPr>
            <w:r>
              <w:rPr>
                <w:b/>
                <w:sz w:val="22"/>
                <w:u w:val="none"/>
              </w:rPr>
              <w:t>8031</w:t>
            </w:r>
          </w:p>
        </w:tc>
        <w:tc>
          <w:tcPr>
            <w:tcW w:w="7472" w:type="dxa"/>
          </w:tcPr>
          <w:p>
            <w:pPr>
              <w:pStyle w:val="TableParagraph"/>
              <w:jc w:val="left"/>
              <w:rPr>
                <w:sz w:val="22"/>
                <w:u w:val="none"/>
              </w:rPr>
            </w:pPr>
            <w:r>
              <w:rPr>
                <w:b/>
                <w:sz w:val="22"/>
                <w:u w:val="thick"/>
              </w:rPr>
              <w:t>Approved Depositories, </w:t>
            </w:r>
            <w:r>
              <w:rPr>
                <w:sz w:val="22"/>
                <w:u w:val="none"/>
              </w:rPr>
              <w:t>add “Citibank” as a new depository.</w:t>
            </w:r>
          </w:p>
        </w:tc>
      </w:tr>
      <w:tr>
        <w:trPr>
          <w:trHeight w:val="1032" w:hRule="exact"/>
        </w:trPr>
        <w:tc>
          <w:tcPr>
            <w:tcW w:w="2000" w:type="dxa"/>
          </w:tcPr>
          <w:p>
            <w:pPr>
              <w:pStyle w:val="TableParagraph"/>
              <w:jc w:val="left"/>
              <w:rPr>
                <w:b/>
                <w:sz w:val="22"/>
                <w:u w:val="none"/>
              </w:rPr>
            </w:pPr>
            <w:r>
              <w:rPr>
                <w:b/>
                <w:sz w:val="22"/>
                <w:u w:val="none"/>
              </w:rPr>
              <w:t>8033.1</w:t>
            </w:r>
          </w:p>
        </w:tc>
        <w:tc>
          <w:tcPr>
            <w:tcW w:w="7472" w:type="dxa"/>
          </w:tcPr>
          <w:p>
            <w:pPr>
              <w:pStyle w:val="TableParagraph"/>
              <w:ind w:right="93"/>
              <w:jc w:val="left"/>
              <w:rPr>
                <w:sz w:val="22"/>
                <w:u w:val="none"/>
              </w:rPr>
            </w:pPr>
            <w:r>
              <w:rPr>
                <w:b/>
                <w:sz w:val="22"/>
                <w:u w:val="thick"/>
              </w:rPr>
              <w:t>Ordering Report of Deposit Forms, </w:t>
            </w:r>
            <w:r>
              <w:rPr>
                <w:sz w:val="22"/>
                <w:u w:val="none"/>
              </w:rPr>
              <w:t>add “Citibank” to list for the STO Report of Deposit Form Identification and Color Code. Plus add “Citibank” to list for the Standard Report of Deposit Non-Agency Specific Identification and Color Code.</w:t>
            </w:r>
          </w:p>
        </w:tc>
      </w:tr>
      <w:tr>
        <w:trPr>
          <w:trHeight w:val="1034" w:hRule="exact"/>
        </w:trPr>
        <w:tc>
          <w:tcPr>
            <w:tcW w:w="2000" w:type="dxa"/>
          </w:tcPr>
          <w:p>
            <w:pPr>
              <w:pStyle w:val="TableParagraph"/>
              <w:jc w:val="left"/>
              <w:rPr>
                <w:b/>
                <w:sz w:val="22"/>
                <w:u w:val="none"/>
              </w:rPr>
            </w:pPr>
            <w:r>
              <w:rPr>
                <w:b/>
                <w:sz w:val="22"/>
                <w:u w:val="none"/>
              </w:rPr>
              <w:t>8776.6</w:t>
            </w:r>
          </w:p>
        </w:tc>
        <w:tc>
          <w:tcPr>
            <w:tcW w:w="7472" w:type="dxa"/>
          </w:tcPr>
          <w:p>
            <w:pPr>
              <w:pStyle w:val="TableParagraph"/>
              <w:ind w:right="115" w:hanging="1"/>
              <w:jc w:val="both"/>
              <w:rPr>
                <w:sz w:val="22"/>
                <w:u w:val="none"/>
              </w:rPr>
            </w:pPr>
            <w:r>
              <w:rPr>
                <w:b/>
                <w:sz w:val="22"/>
                <w:u w:val="thick"/>
              </w:rPr>
              <w:t>Nonemployee Accounts Receivable, </w:t>
            </w:r>
            <w:r>
              <w:rPr>
                <w:sz w:val="22"/>
                <w:u w:val="none"/>
              </w:rPr>
              <w:t>updated the Discharge from Accountability to current amount. Correcting the CVCGCB, Government Claims Program phone numbers.</w:t>
            </w:r>
          </w:p>
        </w:tc>
      </w:tr>
    </w:tbl>
    <w:p>
      <w:pPr>
        <w:spacing w:after="0"/>
        <w:jc w:val="both"/>
        <w:rPr>
          <w:sz w:val="22"/>
        </w:rPr>
        <w:sectPr>
          <w:footerReference w:type="default" r:id="rId5"/>
          <w:type w:val="continuous"/>
          <w:pgSz w:w="12240" w:h="15840"/>
          <w:pgMar w:footer="742" w:top="900" w:bottom="940" w:left="1220" w:right="1320"/>
        </w:sectPr>
      </w:pPr>
    </w:p>
    <w:p>
      <w:pPr>
        <w:spacing w:before="64"/>
        <w:ind w:left="2863" w:right="0" w:firstLine="0"/>
        <w:jc w:val="left"/>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5"/>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jc w:val="left"/>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jc w:val="left"/>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jc w:val="left"/>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rPr>
                <w:b/>
                <w:sz w:val="22"/>
                <w:u w:val="none"/>
              </w:rPr>
            </w:pPr>
            <w:r>
              <w:rPr>
                <w:b/>
                <w:sz w:val="22"/>
                <w:u w:val="none"/>
              </w:rPr>
              <w:t>Sheets</w:t>
            </w:r>
          </w:p>
        </w:tc>
      </w:tr>
      <w:tr>
        <w:trPr>
          <w:trHeight w:val="526" w:hRule="exact"/>
        </w:trPr>
        <w:tc>
          <w:tcPr>
            <w:tcW w:w="3530" w:type="dxa"/>
          </w:tcPr>
          <w:p>
            <w:pPr>
              <w:pStyle w:val="TableParagraph"/>
              <w:jc w:val="left"/>
              <w:rPr>
                <w:b/>
                <w:sz w:val="22"/>
                <w:u w:val="none"/>
              </w:rPr>
            </w:pPr>
            <w:r>
              <w:rPr>
                <w:b/>
                <w:sz w:val="22"/>
                <w:u w:val="none"/>
              </w:rPr>
              <w:t>Directors Foreword</w:t>
            </w:r>
          </w:p>
        </w:tc>
        <w:tc>
          <w:tcPr>
            <w:tcW w:w="1710" w:type="dxa"/>
          </w:tcPr>
          <w:p>
            <w:pPr>
              <w:pStyle w:val="TableParagraph"/>
              <w:ind w:left="0"/>
              <w:rPr>
                <w:b/>
                <w:sz w:val="22"/>
                <w:u w:val="none"/>
              </w:rPr>
            </w:pPr>
            <w:r>
              <w:rPr>
                <w:b/>
                <w:w w:val="99"/>
                <w:sz w:val="22"/>
                <w:u w:val="none"/>
              </w:rPr>
              <w:t>1</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Pr>
                <w:b/>
                <w:sz w:val="22"/>
                <w:u w:val="none"/>
              </w:rPr>
            </w:pPr>
            <w:r>
              <w:rPr>
                <w:b/>
                <w:w w:val="99"/>
                <w:sz w:val="22"/>
                <w:u w:val="none"/>
              </w:rPr>
              <w:t>1</w:t>
            </w:r>
          </w:p>
        </w:tc>
      </w:tr>
      <w:tr>
        <w:trPr>
          <w:trHeight w:val="784" w:hRule="exact"/>
        </w:trPr>
        <w:tc>
          <w:tcPr>
            <w:tcW w:w="3530" w:type="dxa"/>
          </w:tcPr>
          <w:p>
            <w:pPr>
              <w:pStyle w:val="TableParagraph"/>
              <w:spacing w:line="244" w:lineRule="auto"/>
              <w:ind w:right="189"/>
              <w:jc w:val="left"/>
              <w:rPr>
                <w:b/>
                <w:sz w:val="22"/>
                <w:u w:val="none"/>
              </w:rPr>
            </w:pPr>
            <w:r>
              <w:rPr>
                <w:b/>
                <w:sz w:val="22"/>
                <w:u w:val="none"/>
              </w:rPr>
              <w:t>Subject Index pages 1-4, 7&amp;8, and 13&amp;14</w:t>
            </w:r>
          </w:p>
        </w:tc>
        <w:tc>
          <w:tcPr>
            <w:tcW w:w="1710" w:type="dxa"/>
          </w:tcPr>
          <w:p>
            <w:pPr>
              <w:pStyle w:val="TableParagraph"/>
              <w:ind w:left="0" w:right="1"/>
              <w:rPr>
                <w:b/>
                <w:sz w:val="22"/>
                <w:u w:val="none"/>
              </w:rPr>
            </w:pPr>
            <w:r>
              <w:rPr>
                <w:b/>
                <w:w w:val="99"/>
                <w:sz w:val="22"/>
                <w:u w:val="none"/>
              </w:rPr>
              <w:t>4</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4</w:t>
            </w:r>
          </w:p>
        </w:tc>
      </w:tr>
      <w:tr>
        <w:trPr>
          <w:trHeight w:val="526" w:hRule="exact"/>
        </w:trPr>
        <w:tc>
          <w:tcPr>
            <w:tcW w:w="3530" w:type="dxa"/>
          </w:tcPr>
          <w:p>
            <w:pPr>
              <w:pStyle w:val="TableParagraph"/>
              <w:jc w:val="left"/>
              <w:rPr>
                <w:b/>
                <w:sz w:val="22"/>
                <w:u w:val="none"/>
              </w:rPr>
            </w:pPr>
            <w:r>
              <w:rPr>
                <w:b/>
                <w:sz w:val="22"/>
                <w:u w:val="none"/>
              </w:rPr>
              <w:t>0030 through 0030 (Cont. 4)</w:t>
            </w:r>
          </w:p>
        </w:tc>
        <w:tc>
          <w:tcPr>
            <w:tcW w:w="1710" w:type="dxa"/>
          </w:tcPr>
          <w:p>
            <w:pPr>
              <w:pStyle w:val="TableParagraph"/>
              <w:ind w:left="0"/>
              <w:rPr>
                <w:b/>
                <w:sz w:val="22"/>
                <w:u w:val="none"/>
              </w:rPr>
            </w:pPr>
            <w:r>
              <w:rPr>
                <w:b/>
                <w:w w:val="99"/>
                <w:sz w:val="22"/>
                <w:u w:val="none"/>
              </w:rPr>
              <w:t>3</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3</w:t>
            </w:r>
          </w:p>
        </w:tc>
      </w:tr>
      <w:tr>
        <w:trPr>
          <w:trHeight w:val="526" w:hRule="exact"/>
        </w:trPr>
        <w:tc>
          <w:tcPr>
            <w:tcW w:w="3530" w:type="dxa"/>
          </w:tcPr>
          <w:p>
            <w:pPr>
              <w:pStyle w:val="TableParagraph"/>
              <w:jc w:val="left"/>
              <w:rPr>
                <w:b/>
                <w:sz w:val="22"/>
                <w:u w:val="none"/>
              </w:rPr>
            </w:pPr>
            <w:r>
              <w:rPr>
                <w:b/>
                <w:sz w:val="22"/>
                <w:u w:val="none"/>
              </w:rPr>
              <w:t>3836</w:t>
            </w:r>
          </w:p>
        </w:tc>
        <w:tc>
          <w:tcPr>
            <w:tcW w:w="1710" w:type="dxa"/>
          </w:tcPr>
          <w:p>
            <w:pPr>
              <w:pStyle w:val="TableParagraph"/>
              <w:ind w:left="0"/>
              <w:rPr>
                <w:b/>
                <w:sz w:val="22"/>
                <w:u w:val="none"/>
              </w:rPr>
            </w:pPr>
            <w:r>
              <w:rPr>
                <w:b/>
                <w:w w:val="99"/>
                <w:sz w:val="22"/>
                <w:u w:val="none"/>
              </w:rPr>
              <w:t>1</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1</w:t>
            </w:r>
          </w:p>
        </w:tc>
      </w:tr>
      <w:tr>
        <w:trPr>
          <w:trHeight w:val="526" w:hRule="exact"/>
        </w:trPr>
        <w:tc>
          <w:tcPr>
            <w:tcW w:w="3530" w:type="dxa"/>
          </w:tcPr>
          <w:p>
            <w:pPr>
              <w:pStyle w:val="TableParagraph"/>
              <w:jc w:val="left"/>
              <w:rPr>
                <w:b/>
                <w:sz w:val="22"/>
                <w:u w:val="none"/>
              </w:rPr>
            </w:pPr>
            <w:r>
              <w:rPr>
                <w:b/>
                <w:sz w:val="22"/>
                <w:u w:val="none"/>
              </w:rPr>
              <w:t>3851</w:t>
            </w:r>
          </w:p>
        </w:tc>
        <w:tc>
          <w:tcPr>
            <w:tcW w:w="1710" w:type="dxa"/>
          </w:tcPr>
          <w:p>
            <w:pPr>
              <w:pStyle w:val="TableParagraph"/>
              <w:ind w:left="0"/>
              <w:rPr>
                <w:b/>
                <w:sz w:val="22"/>
                <w:u w:val="none"/>
              </w:rPr>
            </w:pPr>
            <w:r>
              <w:rPr>
                <w:b/>
                <w:w w:val="99"/>
                <w:sz w:val="22"/>
                <w:u w:val="none"/>
              </w:rPr>
              <w:t>1</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1</w:t>
            </w:r>
          </w:p>
        </w:tc>
      </w:tr>
      <w:tr>
        <w:trPr>
          <w:trHeight w:val="526" w:hRule="exact"/>
        </w:trPr>
        <w:tc>
          <w:tcPr>
            <w:tcW w:w="3530" w:type="dxa"/>
          </w:tcPr>
          <w:p>
            <w:pPr>
              <w:pStyle w:val="TableParagraph"/>
              <w:jc w:val="left"/>
              <w:rPr>
                <w:b/>
                <w:sz w:val="22"/>
                <w:u w:val="none"/>
              </w:rPr>
            </w:pPr>
            <w:r>
              <w:rPr>
                <w:b/>
                <w:sz w:val="22"/>
                <w:u w:val="none"/>
              </w:rPr>
              <w:t>Entire Chapter 5200</w:t>
            </w:r>
          </w:p>
        </w:tc>
        <w:tc>
          <w:tcPr>
            <w:tcW w:w="1710" w:type="dxa"/>
          </w:tcPr>
          <w:p>
            <w:pPr>
              <w:pStyle w:val="TableParagraph"/>
              <w:ind w:left="3"/>
              <w:rPr>
                <w:b/>
                <w:sz w:val="22"/>
                <w:u w:val="none"/>
              </w:rPr>
            </w:pPr>
            <w:r>
              <w:rPr>
                <w:b/>
                <w:w w:val="99"/>
                <w:sz w:val="22"/>
                <w:u w:val="none"/>
              </w:rPr>
              <w:t>2</w:t>
            </w:r>
          </w:p>
        </w:tc>
        <w:tc>
          <w:tcPr>
            <w:tcW w:w="2610" w:type="dxa"/>
          </w:tcPr>
          <w:p>
            <w:pPr>
              <w:pStyle w:val="TableParagraph"/>
              <w:ind w:left="98" w:right="96"/>
              <w:rPr>
                <w:b/>
                <w:sz w:val="22"/>
                <w:u w:val="none"/>
              </w:rPr>
            </w:pPr>
            <w:r>
              <w:rPr>
                <w:b/>
                <w:sz w:val="22"/>
                <w:u w:val="none"/>
              </w:rPr>
              <w:t>5200 Index – Page 5230.5</w:t>
            </w:r>
          </w:p>
        </w:tc>
        <w:tc>
          <w:tcPr>
            <w:tcW w:w="1802" w:type="dxa"/>
          </w:tcPr>
          <w:p>
            <w:pPr>
              <w:pStyle w:val="TableParagraph"/>
              <w:spacing w:line="240" w:lineRule="exact" w:before="0"/>
              <w:ind w:left="0" w:right="2"/>
              <w:rPr>
                <w:b/>
                <w:sz w:val="22"/>
                <w:u w:val="none"/>
              </w:rPr>
            </w:pPr>
            <w:r>
              <w:rPr>
                <w:b/>
                <w:w w:val="99"/>
                <w:sz w:val="22"/>
                <w:u w:val="none"/>
              </w:rPr>
              <w:t>4</w:t>
            </w:r>
          </w:p>
        </w:tc>
      </w:tr>
      <w:tr>
        <w:trPr>
          <w:trHeight w:val="526" w:hRule="exact"/>
        </w:trPr>
        <w:tc>
          <w:tcPr>
            <w:tcW w:w="3530" w:type="dxa"/>
          </w:tcPr>
          <w:p>
            <w:pPr>
              <w:pStyle w:val="TableParagraph"/>
              <w:jc w:val="left"/>
              <w:rPr>
                <w:b/>
                <w:sz w:val="22"/>
                <w:u w:val="none"/>
              </w:rPr>
            </w:pPr>
            <w:r>
              <w:rPr>
                <w:b/>
                <w:sz w:val="22"/>
                <w:u w:val="none"/>
              </w:rPr>
              <w:t>8030</w:t>
            </w:r>
          </w:p>
        </w:tc>
        <w:tc>
          <w:tcPr>
            <w:tcW w:w="1710" w:type="dxa"/>
          </w:tcPr>
          <w:p>
            <w:pPr>
              <w:pStyle w:val="TableParagraph"/>
              <w:ind w:left="0"/>
              <w:rPr>
                <w:b/>
                <w:sz w:val="22"/>
                <w:u w:val="none"/>
              </w:rPr>
            </w:pPr>
            <w:r>
              <w:rPr>
                <w:b/>
                <w:w w:val="99"/>
                <w:sz w:val="22"/>
                <w:u w:val="none"/>
              </w:rPr>
              <w:t>1</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1</w:t>
            </w:r>
          </w:p>
        </w:tc>
      </w:tr>
      <w:tr>
        <w:trPr>
          <w:trHeight w:val="526" w:hRule="exact"/>
        </w:trPr>
        <w:tc>
          <w:tcPr>
            <w:tcW w:w="3530" w:type="dxa"/>
          </w:tcPr>
          <w:p>
            <w:pPr>
              <w:pStyle w:val="TableParagraph"/>
              <w:jc w:val="left"/>
              <w:rPr>
                <w:b/>
                <w:sz w:val="22"/>
                <w:u w:val="none"/>
              </w:rPr>
            </w:pPr>
            <w:r>
              <w:rPr>
                <w:b/>
                <w:sz w:val="22"/>
                <w:u w:val="none"/>
              </w:rPr>
              <w:t>8033.1 through 8033.1 (Cont. 2)</w:t>
            </w:r>
          </w:p>
        </w:tc>
        <w:tc>
          <w:tcPr>
            <w:tcW w:w="1710" w:type="dxa"/>
          </w:tcPr>
          <w:p>
            <w:pPr>
              <w:pStyle w:val="TableParagraph"/>
              <w:ind w:left="0" w:right="1"/>
              <w:rPr>
                <w:b/>
                <w:sz w:val="22"/>
                <w:u w:val="none"/>
              </w:rPr>
            </w:pPr>
            <w:r>
              <w:rPr>
                <w:b/>
                <w:w w:val="99"/>
                <w:sz w:val="22"/>
                <w:u w:val="none"/>
              </w:rPr>
              <w:t>2</w:t>
            </w:r>
          </w:p>
        </w:tc>
        <w:tc>
          <w:tcPr>
            <w:tcW w:w="2610" w:type="dxa"/>
          </w:tcPr>
          <w:p>
            <w:pPr>
              <w:pStyle w:val="TableParagraph"/>
              <w:ind w:left="96" w:right="96"/>
              <w:rPr>
                <w:b/>
                <w:sz w:val="22"/>
                <w:u w:val="none"/>
              </w:rPr>
            </w:pPr>
            <w:r>
              <w:rPr>
                <w:b/>
                <w:sz w:val="22"/>
                <w:u w:val="none"/>
              </w:rPr>
              <w:t>Same</w:t>
            </w:r>
          </w:p>
        </w:tc>
        <w:tc>
          <w:tcPr>
            <w:tcW w:w="1802" w:type="dxa"/>
          </w:tcPr>
          <w:p>
            <w:pPr>
              <w:pStyle w:val="TableParagraph"/>
              <w:spacing w:line="240" w:lineRule="exact" w:before="0"/>
              <w:ind w:left="0" w:right="2"/>
              <w:rPr>
                <w:b/>
                <w:sz w:val="22"/>
                <w:u w:val="none"/>
              </w:rPr>
            </w:pPr>
            <w:r>
              <w:rPr>
                <w:b/>
                <w:w w:val="99"/>
                <w:sz w:val="22"/>
                <w:u w:val="none"/>
              </w:rPr>
              <w:t>2</w:t>
            </w:r>
          </w:p>
        </w:tc>
      </w:tr>
      <w:tr>
        <w:trPr>
          <w:trHeight w:val="528" w:hRule="exact"/>
        </w:trPr>
        <w:tc>
          <w:tcPr>
            <w:tcW w:w="3530" w:type="dxa"/>
          </w:tcPr>
          <w:p>
            <w:pPr>
              <w:pStyle w:val="TableParagraph"/>
              <w:jc w:val="left"/>
              <w:rPr>
                <w:b/>
                <w:sz w:val="22"/>
                <w:u w:val="none"/>
              </w:rPr>
            </w:pPr>
            <w:r>
              <w:rPr>
                <w:b/>
                <w:sz w:val="22"/>
                <w:u w:val="none"/>
              </w:rPr>
              <w:t>8776.12 Through 8776.6 (Cont. 2)</w:t>
            </w:r>
          </w:p>
        </w:tc>
        <w:tc>
          <w:tcPr>
            <w:tcW w:w="1710" w:type="dxa"/>
          </w:tcPr>
          <w:p>
            <w:pPr>
              <w:pStyle w:val="TableParagraph"/>
              <w:ind w:left="0" w:right="1"/>
              <w:rPr>
                <w:b/>
                <w:sz w:val="22"/>
                <w:u w:val="none"/>
              </w:rPr>
            </w:pPr>
            <w:r>
              <w:rPr>
                <w:b/>
                <w:w w:val="99"/>
                <w:sz w:val="22"/>
                <w:u w:val="none"/>
              </w:rPr>
              <w:t>2</w:t>
            </w:r>
          </w:p>
        </w:tc>
        <w:tc>
          <w:tcPr>
            <w:tcW w:w="2610" w:type="dxa"/>
          </w:tcPr>
          <w:p>
            <w:pPr>
              <w:pStyle w:val="TableParagraph"/>
              <w:ind w:left="96" w:right="96"/>
              <w:rPr>
                <w:b/>
                <w:sz w:val="22"/>
                <w:u w:val="none"/>
              </w:rPr>
            </w:pPr>
            <w:r>
              <w:rPr>
                <w:b/>
                <w:sz w:val="22"/>
                <w:u w:val="none"/>
              </w:rPr>
              <w:t>Same</w:t>
            </w:r>
          </w:p>
        </w:tc>
        <w:tc>
          <w:tcPr>
            <w:tcW w:w="1802" w:type="dxa"/>
          </w:tcPr>
          <w:p>
            <w:pPr>
              <w:pStyle w:val="TableParagraph"/>
              <w:ind w:left="0"/>
              <w:rPr>
                <w:b/>
                <w:sz w:val="22"/>
                <w:u w:val="none"/>
              </w:rPr>
            </w:pPr>
            <w:r>
              <w:rPr>
                <w:b/>
                <w:w w:val="99"/>
                <w:sz w:val="22"/>
                <w:u w:val="none"/>
              </w:rPr>
              <w:t>2</w:t>
            </w:r>
          </w:p>
        </w:tc>
      </w:tr>
    </w:tbl>
    <w:sectPr>
      <w:pgSz w:w="12240" w:h="15840"/>
      <w:pgMar w:header="0" w:footer="742" w:top="66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6664" type="#_x0000_t202" filled="false" stroked="false">
          <v:textbox inset="0,0,0,0">
            <w:txbxContent>
              <w:p>
                <w:pPr>
                  <w:spacing w:before="12"/>
                  <w:ind w:left="20" w:right="0" w:firstLine="0"/>
                  <w:jc w:val="left"/>
                  <w:rPr>
                    <w:b/>
                    <w:sz w:val="20"/>
                  </w:rPr>
                </w:pPr>
                <w:r>
                  <w:rPr>
                    <w:b/>
                    <w:sz w:val="20"/>
                  </w:rPr>
                  <w:t>Rev. 398</w:t>
                </w:r>
              </w:p>
            </w:txbxContent>
          </v:textbox>
          <w10:wrap type="none"/>
        </v:shape>
      </w:pict>
    </w:r>
    <w:r>
      <w:rPr/>
      <w:pict>
        <v:shape style="position:absolute;margin-left:490.116608pt;margin-top:743.911072pt;width:50.9pt;height:13.1pt;mso-position-horizontal-relative:page;mso-position-vertical-relative:page;z-index:-6640" type="#_x0000_t202" filled="false" stroked="false">
          <v:textbox inset="0,0,0,0">
            <w:txbxContent>
              <w:p>
                <w:pPr>
                  <w:spacing w:before="12"/>
                  <w:ind w:left="20" w:right="0" w:firstLine="0"/>
                  <w:jc w:val="left"/>
                  <w:rPr>
                    <w:b/>
                    <w:sz w:val="20"/>
                  </w:rPr>
                </w:pPr>
                <w:r>
                  <w:rPr>
                    <w:b/>
                    <w:sz w:val="20"/>
                  </w:rPr>
                  <w:t>JUNE 2007</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jc w:val="center"/>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2020-07-14T11:06:57Z</dcterms:created>
  <dcterms:modified xsi:type="dcterms:W3CDTF">2020-07-14T11:06:57Z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2007-07-06T00:00:00Z</vt:filetime>
  </property>
  <property fmtid="{D5CDD505-2E9C-101B-9397-08002B2CF9AE}" pid="3" name="Creator">
    <vt:lpwstr>Acrobat PDFMaker 7.0 for Word</vt:lpwstr>
  </property>
  <property fmtid="{D5CDD505-2E9C-101B-9397-08002B2CF9AE}" pid="4" name="LastSaved">
    <vt:filetime>2020-07-14T00:00:00Z</vt:filetime>
  </property>
</Properties>
</file>