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ind w:left="220" w:right="166"/>
        <w:jc w:val="both"/>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rPr>
          <w:sz w:val="20"/>
        </w:rPr>
      </w:pPr>
    </w:p>
    <w:p>
      <w:pPr>
        <w:pStyle w:val="BodyText"/>
        <w:spacing w:before="10"/>
        <w:rPr>
          <w:sz w:val="25"/>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6" w:hRule="exact"/>
        </w:trPr>
        <w:tc>
          <w:tcPr>
            <w:tcW w:w="2000" w:type="dxa"/>
            <w:tcBorders>
              <w:top w:val="nil"/>
              <w:left w:val="nil"/>
              <w:right w:val="nil"/>
            </w:tcBorders>
          </w:tcPr>
          <w:p>
            <w:pPr>
              <w:pStyle w:val="TableParagraph"/>
              <w:spacing w:line="243"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3" w:lineRule="exact" w:before="0"/>
              <w:ind w:left="1820"/>
              <w:rPr>
                <w:b/>
                <w:sz w:val="22"/>
                <w:u w:val="none"/>
              </w:rPr>
            </w:pPr>
            <w:r>
              <w:rPr>
                <w:b/>
                <w:sz w:val="22"/>
                <w:u w:val="none"/>
              </w:rPr>
              <w:t>SUMMARY</w:t>
            </w:r>
          </w:p>
        </w:tc>
      </w:tr>
      <w:tr>
        <w:trPr>
          <w:trHeight w:val="1544" w:hRule="exact"/>
        </w:trPr>
        <w:tc>
          <w:tcPr>
            <w:tcW w:w="2000" w:type="dxa"/>
          </w:tcPr>
          <w:p>
            <w:pPr>
              <w:pStyle w:val="TableParagraph"/>
              <w:rPr>
                <w:b/>
                <w:sz w:val="22"/>
                <w:u w:val="none"/>
              </w:rPr>
            </w:pPr>
            <w:r>
              <w:rPr>
                <w:b/>
                <w:sz w:val="22"/>
                <w:u w:val="none"/>
              </w:rPr>
              <w:t>Subject Index</w:t>
            </w:r>
          </w:p>
        </w:tc>
        <w:tc>
          <w:tcPr>
            <w:tcW w:w="7472" w:type="dxa"/>
          </w:tcPr>
          <w:p>
            <w:pPr>
              <w:pStyle w:val="TableParagraph"/>
              <w:ind w:right="234"/>
              <w:rPr>
                <w:sz w:val="22"/>
                <w:u w:val="none"/>
              </w:rPr>
            </w:pPr>
            <w:r>
              <w:rPr>
                <w:b/>
                <w:sz w:val="22"/>
                <w:u w:val="thick"/>
              </w:rPr>
              <w:t>Subject Index, </w:t>
            </w:r>
            <w:r>
              <w:rPr>
                <w:sz w:val="22"/>
                <w:u w:val="none"/>
              </w:rPr>
              <w:t>removed deleted section from Page 1, added Section 5300.4 Definition to Page 9, added sections to the Information Technology Chapter, on page 10, removed deleted section from page 13, added Consultant Services 5222 Section to page 14, and added 5300 et seq. to Security Chapter on page 16 of Subject Index</w:t>
            </w:r>
          </w:p>
        </w:tc>
      </w:tr>
      <w:tr>
        <w:trPr>
          <w:trHeight w:val="778" w:hRule="exact"/>
        </w:trPr>
        <w:tc>
          <w:tcPr>
            <w:tcW w:w="2000" w:type="dxa"/>
          </w:tcPr>
          <w:p>
            <w:pPr>
              <w:pStyle w:val="TableParagraph"/>
              <w:spacing w:line="244" w:lineRule="auto"/>
              <w:ind w:right="590"/>
              <w:rPr>
                <w:b/>
                <w:sz w:val="22"/>
                <w:u w:val="none"/>
              </w:rPr>
            </w:pPr>
            <w:r>
              <w:rPr>
                <w:b/>
                <w:sz w:val="22"/>
                <w:u w:val="none"/>
              </w:rPr>
              <w:t>Chapter 1700 Addendum</w:t>
            </w:r>
          </w:p>
        </w:tc>
        <w:tc>
          <w:tcPr>
            <w:tcW w:w="7472" w:type="dxa"/>
          </w:tcPr>
          <w:p>
            <w:pPr>
              <w:pStyle w:val="TableParagraph"/>
              <w:ind w:right="154"/>
              <w:rPr>
                <w:sz w:val="22"/>
                <w:u w:val="none"/>
              </w:rPr>
            </w:pPr>
            <w:r>
              <w:rPr>
                <w:b/>
                <w:sz w:val="22"/>
                <w:u w:val="thick"/>
              </w:rPr>
              <w:t>1700 Addendum, </w:t>
            </w:r>
            <w:r>
              <w:rPr>
                <w:sz w:val="22"/>
                <w:u w:val="none"/>
              </w:rPr>
              <w:t>Update information and place after page 1740 and before 1900 Index.</w:t>
            </w:r>
          </w:p>
        </w:tc>
      </w:tr>
      <w:tr>
        <w:trPr>
          <w:trHeight w:val="778" w:hRule="exact"/>
        </w:trPr>
        <w:tc>
          <w:tcPr>
            <w:tcW w:w="2000" w:type="dxa"/>
          </w:tcPr>
          <w:p>
            <w:pPr>
              <w:pStyle w:val="TableParagraph"/>
              <w:rPr>
                <w:b/>
                <w:sz w:val="22"/>
                <w:u w:val="none"/>
              </w:rPr>
            </w:pPr>
            <w:r>
              <w:rPr>
                <w:b/>
                <w:sz w:val="22"/>
                <w:u w:val="none"/>
              </w:rPr>
              <w:t>Chapter 4800</w:t>
            </w:r>
          </w:p>
          <w:p>
            <w:pPr>
              <w:pStyle w:val="TableParagraph"/>
              <w:rPr>
                <w:b/>
                <w:sz w:val="22"/>
                <w:u w:val="none"/>
              </w:rPr>
            </w:pPr>
            <w:r>
              <w:rPr>
                <w:b/>
                <w:sz w:val="22"/>
                <w:u w:val="none"/>
              </w:rPr>
              <w:t>through 5180</w:t>
            </w:r>
          </w:p>
        </w:tc>
        <w:tc>
          <w:tcPr>
            <w:tcW w:w="7472" w:type="dxa"/>
          </w:tcPr>
          <w:p>
            <w:pPr>
              <w:pStyle w:val="TableParagraph"/>
              <w:ind w:right="234"/>
              <w:rPr>
                <w:sz w:val="22"/>
                <w:u w:val="none"/>
              </w:rPr>
            </w:pPr>
            <w:r>
              <w:rPr>
                <w:b/>
                <w:sz w:val="22"/>
                <w:u w:val="thick"/>
              </w:rPr>
              <w:t>Complete Chapter re-writes, </w:t>
            </w:r>
            <w:r>
              <w:rPr>
                <w:sz w:val="22"/>
                <w:u w:val="none"/>
              </w:rPr>
              <w:t>Global-Changed “Finance” to “the OCIO” &amp; changed references from 4840-4845 to 5300-5399 per MM 08-02.</w:t>
            </w:r>
          </w:p>
        </w:tc>
      </w:tr>
      <w:tr>
        <w:trPr>
          <w:trHeight w:val="1032" w:hRule="exact"/>
        </w:trPr>
        <w:tc>
          <w:tcPr>
            <w:tcW w:w="2000" w:type="dxa"/>
          </w:tcPr>
          <w:p>
            <w:pPr/>
          </w:p>
        </w:tc>
        <w:tc>
          <w:tcPr>
            <w:tcW w:w="7472" w:type="dxa"/>
          </w:tcPr>
          <w:p>
            <w:pPr>
              <w:pStyle w:val="TableParagraph"/>
              <w:ind w:right="344"/>
              <w:rPr>
                <w:sz w:val="22"/>
                <w:u w:val="none"/>
              </w:rPr>
            </w:pPr>
            <w:r>
              <w:rPr>
                <w:b/>
                <w:sz w:val="22"/>
                <w:u w:val="thick"/>
              </w:rPr>
              <w:t>4800 </w:t>
            </w:r>
            <w:r>
              <w:rPr>
                <w:sz w:val="22"/>
                <w:u w:val="none"/>
              </w:rPr>
              <w:t>– Language added clarifying that project approvals or conditions made by the Department of Finance prior to January 1, 2008, remains in effect unless otherwise notified.</w:t>
            </w:r>
          </w:p>
        </w:tc>
      </w:tr>
      <w:tr>
        <w:trPr>
          <w:trHeight w:val="778" w:hRule="exact"/>
        </w:trPr>
        <w:tc>
          <w:tcPr>
            <w:tcW w:w="2000" w:type="dxa"/>
          </w:tcPr>
          <w:p>
            <w:pPr/>
          </w:p>
        </w:tc>
        <w:tc>
          <w:tcPr>
            <w:tcW w:w="7472" w:type="dxa"/>
          </w:tcPr>
          <w:p>
            <w:pPr>
              <w:pStyle w:val="TableParagraph"/>
              <w:ind w:right="754" w:hanging="1"/>
              <w:rPr>
                <w:sz w:val="22"/>
                <w:u w:val="none"/>
              </w:rPr>
            </w:pPr>
            <w:r>
              <w:rPr>
                <w:b/>
                <w:sz w:val="22"/>
                <w:u w:val="thick"/>
              </w:rPr>
              <w:t>4810 </w:t>
            </w:r>
            <w:r>
              <w:rPr>
                <w:sz w:val="22"/>
                <w:u w:val="none"/>
              </w:rPr>
              <w:t>– Changed to reference the Government Code describing the OCIO’s authority and responsibilities.</w:t>
            </w:r>
          </w:p>
        </w:tc>
      </w:tr>
      <w:tr>
        <w:trPr>
          <w:trHeight w:val="778" w:hRule="exact"/>
        </w:trPr>
        <w:tc>
          <w:tcPr>
            <w:tcW w:w="2000" w:type="dxa"/>
          </w:tcPr>
          <w:p>
            <w:pPr/>
          </w:p>
        </w:tc>
        <w:tc>
          <w:tcPr>
            <w:tcW w:w="7472" w:type="dxa"/>
          </w:tcPr>
          <w:p>
            <w:pPr>
              <w:pStyle w:val="TableParagraph"/>
              <w:ind w:right="424"/>
              <w:rPr>
                <w:sz w:val="22"/>
                <w:u w:val="none"/>
              </w:rPr>
            </w:pPr>
            <w:r>
              <w:rPr>
                <w:b/>
                <w:sz w:val="22"/>
                <w:u w:val="thick"/>
              </w:rPr>
              <w:t>4819.2 </w:t>
            </w:r>
            <w:r>
              <w:rPr>
                <w:sz w:val="22"/>
                <w:u w:val="none"/>
              </w:rPr>
              <w:t>– Added IT Policy Letter to the list of definitions. Plus, clarified the SIMM definition that non budget related references to Finance are now OCIO.</w:t>
            </w:r>
          </w:p>
        </w:tc>
      </w:tr>
      <w:tr>
        <w:trPr>
          <w:trHeight w:val="778" w:hRule="exact"/>
        </w:trPr>
        <w:tc>
          <w:tcPr>
            <w:tcW w:w="2000" w:type="dxa"/>
          </w:tcPr>
          <w:p>
            <w:pPr/>
          </w:p>
        </w:tc>
        <w:tc>
          <w:tcPr>
            <w:tcW w:w="7472" w:type="dxa"/>
          </w:tcPr>
          <w:p>
            <w:pPr>
              <w:pStyle w:val="TableParagraph"/>
              <w:ind w:right="234"/>
              <w:rPr>
                <w:sz w:val="22"/>
                <w:u w:val="none"/>
              </w:rPr>
            </w:pPr>
            <w:r>
              <w:rPr>
                <w:b/>
                <w:sz w:val="22"/>
                <w:u w:val="thick"/>
              </w:rPr>
              <w:t>4819.3 </w:t>
            </w:r>
            <w:r>
              <w:rPr>
                <w:sz w:val="22"/>
                <w:u w:val="none"/>
              </w:rPr>
              <w:t>– State Information Management and Authority. Changed language to match change made to 4810.</w:t>
            </w:r>
          </w:p>
        </w:tc>
      </w:tr>
      <w:tr>
        <w:trPr>
          <w:trHeight w:val="1032" w:hRule="exact"/>
        </w:trPr>
        <w:tc>
          <w:tcPr>
            <w:tcW w:w="2000" w:type="dxa"/>
          </w:tcPr>
          <w:p>
            <w:pPr/>
          </w:p>
        </w:tc>
        <w:tc>
          <w:tcPr>
            <w:tcW w:w="7472" w:type="dxa"/>
          </w:tcPr>
          <w:p>
            <w:pPr>
              <w:pStyle w:val="TableParagraph"/>
              <w:ind w:right="234"/>
              <w:rPr>
                <w:sz w:val="22"/>
                <w:u w:val="none"/>
              </w:rPr>
            </w:pPr>
            <w:r>
              <w:rPr>
                <w:b/>
                <w:sz w:val="22"/>
                <w:u w:val="thick"/>
              </w:rPr>
              <w:t>4819.31 </w:t>
            </w:r>
            <w:r>
              <w:rPr>
                <w:sz w:val="22"/>
                <w:u w:val="none"/>
              </w:rPr>
              <w:t>– Inserted a new #4 regarding preparation of the IT Capital Plan. With new item #4, subsequent items are renumbered. New #5 (old #4), changed “funds” to “resources”.</w:t>
            </w:r>
          </w:p>
        </w:tc>
      </w:tr>
      <w:tr>
        <w:trPr>
          <w:trHeight w:val="523" w:hRule="exact"/>
        </w:trPr>
        <w:tc>
          <w:tcPr>
            <w:tcW w:w="2000" w:type="dxa"/>
          </w:tcPr>
          <w:p>
            <w:pPr/>
          </w:p>
        </w:tc>
        <w:tc>
          <w:tcPr>
            <w:tcW w:w="7472" w:type="dxa"/>
          </w:tcPr>
          <w:p>
            <w:pPr>
              <w:pStyle w:val="TableParagraph"/>
              <w:rPr>
                <w:sz w:val="22"/>
                <w:u w:val="none"/>
              </w:rPr>
            </w:pPr>
            <w:r>
              <w:rPr>
                <w:b/>
                <w:sz w:val="22"/>
                <w:u w:val="thick"/>
              </w:rPr>
              <w:t>4819.32 </w:t>
            </w:r>
            <w:r>
              <w:rPr>
                <w:sz w:val="22"/>
                <w:u w:val="none"/>
              </w:rPr>
              <w:t>– Changes exclusions to match GC 11548.</w:t>
            </w:r>
          </w:p>
        </w:tc>
      </w:tr>
      <w:tr>
        <w:trPr>
          <w:trHeight w:val="523" w:hRule="exact"/>
        </w:trPr>
        <w:tc>
          <w:tcPr>
            <w:tcW w:w="2000" w:type="dxa"/>
          </w:tcPr>
          <w:p>
            <w:pPr/>
          </w:p>
        </w:tc>
        <w:tc>
          <w:tcPr>
            <w:tcW w:w="7472" w:type="dxa"/>
          </w:tcPr>
          <w:p>
            <w:pPr>
              <w:pStyle w:val="TableParagraph"/>
              <w:rPr>
                <w:sz w:val="22"/>
                <w:u w:val="none"/>
              </w:rPr>
            </w:pPr>
            <w:r>
              <w:rPr>
                <w:b/>
                <w:sz w:val="22"/>
                <w:u w:val="thick"/>
              </w:rPr>
              <w:t>4819.34 </w:t>
            </w:r>
            <w:r>
              <w:rPr>
                <w:sz w:val="22"/>
                <w:u w:val="none"/>
              </w:rPr>
              <w:t>– Changed “expenditures” to “resources” in first paragraph.</w:t>
            </w:r>
          </w:p>
        </w:tc>
      </w:tr>
      <w:tr>
        <w:trPr>
          <w:trHeight w:val="1286" w:hRule="exact"/>
        </w:trPr>
        <w:tc>
          <w:tcPr>
            <w:tcW w:w="2000" w:type="dxa"/>
          </w:tcPr>
          <w:p>
            <w:pPr/>
          </w:p>
        </w:tc>
        <w:tc>
          <w:tcPr>
            <w:tcW w:w="7472" w:type="dxa"/>
          </w:tcPr>
          <w:p>
            <w:pPr>
              <w:pStyle w:val="TableParagraph"/>
              <w:ind w:right="448"/>
              <w:rPr>
                <w:sz w:val="22"/>
                <w:u w:val="none"/>
              </w:rPr>
            </w:pPr>
            <w:r>
              <w:rPr>
                <w:b/>
                <w:sz w:val="22"/>
                <w:u w:val="thick"/>
              </w:rPr>
              <w:t>4819.42 </w:t>
            </w:r>
            <w:r>
              <w:rPr>
                <w:sz w:val="22"/>
                <w:u w:val="none"/>
              </w:rPr>
              <w:t>– Changed BCP review to “from all IT components” to “IT projects”. Split OCIO responsibilities in MM from Finance budget responsibilities in Budget Letter. Changed placeholder FRS/SPR “will be returned” to “may be returned”.</w:t>
            </w:r>
          </w:p>
        </w:tc>
      </w:tr>
    </w:tbl>
    <w:p>
      <w:pPr>
        <w:spacing w:after="0"/>
        <w:rPr>
          <w:sz w:val="22"/>
        </w:rPr>
        <w:sectPr>
          <w:footerReference w:type="default" r:id="rId5"/>
          <w:type w:val="continuous"/>
          <w:pgSz w:w="12240" w:h="15840"/>
          <w:pgMar w:footer="682" w:top="900" w:bottom="880" w:left="1220" w:right="132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1042" w:hRule="exact"/>
        </w:trPr>
        <w:tc>
          <w:tcPr>
            <w:tcW w:w="1998" w:type="dxa"/>
          </w:tcPr>
          <w:p>
            <w:pPr>
              <w:pStyle w:val="TableParagraph"/>
              <w:rPr>
                <w:b/>
                <w:sz w:val="22"/>
                <w:u w:val="none"/>
              </w:rPr>
            </w:pPr>
            <w:r>
              <w:rPr>
                <w:b/>
                <w:sz w:val="22"/>
                <w:u w:val="none"/>
              </w:rPr>
              <w:t>Chapter 4800</w:t>
            </w:r>
          </w:p>
          <w:p>
            <w:pPr>
              <w:pStyle w:val="TableParagraph"/>
              <w:spacing w:line="244" w:lineRule="auto"/>
              <w:ind w:right="612"/>
              <w:rPr>
                <w:b/>
                <w:sz w:val="22"/>
                <w:u w:val="none"/>
              </w:rPr>
            </w:pPr>
            <w:r>
              <w:rPr>
                <w:b/>
                <w:sz w:val="22"/>
                <w:u w:val="none"/>
              </w:rPr>
              <w:t>through 5180 (Continued)</w:t>
            </w:r>
          </w:p>
        </w:tc>
        <w:tc>
          <w:tcPr>
            <w:tcW w:w="7470" w:type="dxa"/>
          </w:tcPr>
          <w:p>
            <w:pPr>
              <w:pStyle w:val="TableParagraph"/>
              <w:ind w:right="256"/>
              <w:rPr>
                <w:sz w:val="22"/>
                <w:u w:val="none"/>
              </w:rPr>
            </w:pPr>
            <w:r>
              <w:rPr>
                <w:b/>
                <w:sz w:val="22"/>
                <w:u w:val="thick"/>
              </w:rPr>
              <w:t>4851 </w:t>
            </w:r>
            <w:r>
              <w:rPr>
                <w:sz w:val="22"/>
                <w:u w:val="none"/>
              </w:rPr>
              <w:t>– Changes the statutory references to reflect the legislation that established the OCIO and expanded its authority.</w:t>
            </w:r>
          </w:p>
        </w:tc>
      </w:tr>
      <w:tr>
        <w:trPr>
          <w:trHeight w:val="523" w:hRule="exact"/>
        </w:trPr>
        <w:tc>
          <w:tcPr>
            <w:tcW w:w="1998" w:type="dxa"/>
          </w:tcPr>
          <w:p>
            <w:pPr/>
          </w:p>
        </w:tc>
        <w:tc>
          <w:tcPr>
            <w:tcW w:w="7470" w:type="dxa"/>
          </w:tcPr>
          <w:p>
            <w:pPr>
              <w:pStyle w:val="TableParagraph"/>
              <w:ind w:right="377"/>
              <w:rPr>
                <w:sz w:val="22"/>
                <w:u w:val="none"/>
              </w:rPr>
            </w:pPr>
            <w:r>
              <w:rPr>
                <w:b/>
                <w:sz w:val="22"/>
                <w:u w:val="thick"/>
              </w:rPr>
              <w:t>4904 </w:t>
            </w:r>
            <w:r>
              <w:rPr>
                <w:sz w:val="22"/>
                <w:u w:val="none"/>
              </w:rPr>
              <w:t>– Added this new SAM Section which discusses the IT Five Year Capital Plan.</w:t>
            </w:r>
          </w:p>
        </w:tc>
      </w:tr>
      <w:tr>
        <w:trPr>
          <w:trHeight w:val="778" w:hRule="exact"/>
        </w:trPr>
        <w:tc>
          <w:tcPr>
            <w:tcW w:w="1998" w:type="dxa"/>
          </w:tcPr>
          <w:p>
            <w:pPr/>
          </w:p>
        </w:tc>
        <w:tc>
          <w:tcPr>
            <w:tcW w:w="7470" w:type="dxa"/>
          </w:tcPr>
          <w:p>
            <w:pPr>
              <w:pStyle w:val="TableParagraph"/>
              <w:ind w:right="189"/>
              <w:rPr>
                <w:sz w:val="22"/>
                <w:u w:val="none"/>
              </w:rPr>
            </w:pPr>
            <w:r>
              <w:rPr>
                <w:b/>
                <w:sz w:val="22"/>
                <w:u w:val="thick"/>
              </w:rPr>
              <w:t>4982 and 4982.1 </w:t>
            </w:r>
            <w:r>
              <w:rPr>
                <w:sz w:val="22"/>
                <w:u w:val="none"/>
              </w:rPr>
              <w:t>– Changed TDC and HWDC references to DTS, and references from three state data centers to two state data centers.</w:t>
            </w:r>
          </w:p>
        </w:tc>
      </w:tr>
      <w:tr>
        <w:trPr>
          <w:trHeight w:val="778" w:hRule="exact"/>
        </w:trPr>
        <w:tc>
          <w:tcPr>
            <w:tcW w:w="1998" w:type="dxa"/>
          </w:tcPr>
          <w:p>
            <w:pPr/>
          </w:p>
        </w:tc>
        <w:tc>
          <w:tcPr>
            <w:tcW w:w="7470" w:type="dxa"/>
          </w:tcPr>
          <w:p>
            <w:pPr>
              <w:pStyle w:val="TableParagraph"/>
              <w:ind w:right="256" w:hanging="1"/>
              <w:rPr>
                <w:sz w:val="22"/>
                <w:u w:val="none"/>
              </w:rPr>
            </w:pPr>
            <w:r>
              <w:rPr>
                <w:b/>
                <w:sz w:val="22"/>
                <w:u w:val="thick"/>
              </w:rPr>
              <w:t>4982.2 </w:t>
            </w:r>
            <w:r>
              <w:rPr>
                <w:sz w:val="22"/>
                <w:u w:val="none"/>
              </w:rPr>
              <w:t>– Added language to point to SAM Section 6780. Deleted remaining language since it is duplicated in SAM Section 6780.</w:t>
            </w:r>
          </w:p>
        </w:tc>
      </w:tr>
      <w:tr>
        <w:trPr>
          <w:trHeight w:val="1795" w:hRule="exact"/>
        </w:trPr>
        <w:tc>
          <w:tcPr>
            <w:tcW w:w="1998" w:type="dxa"/>
          </w:tcPr>
          <w:p>
            <w:pPr>
              <w:pStyle w:val="TableParagraph"/>
              <w:rPr>
                <w:b/>
                <w:sz w:val="22"/>
                <w:u w:val="none"/>
              </w:rPr>
            </w:pPr>
            <w:r>
              <w:rPr>
                <w:b/>
                <w:sz w:val="22"/>
                <w:u w:val="none"/>
              </w:rPr>
              <w:t>5320.5</w:t>
            </w:r>
          </w:p>
        </w:tc>
        <w:tc>
          <w:tcPr>
            <w:tcW w:w="7470" w:type="dxa"/>
          </w:tcPr>
          <w:p>
            <w:pPr>
              <w:pStyle w:val="TableParagraph"/>
              <w:ind w:right="92"/>
              <w:rPr>
                <w:sz w:val="22"/>
                <w:u w:val="none"/>
              </w:rPr>
            </w:pPr>
            <w:r>
              <w:rPr>
                <w:b/>
                <w:sz w:val="22"/>
                <w:u w:val="thick"/>
              </w:rPr>
              <w:t>Classification of Information, </w:t>
            </w:r>
            <w:r>
              <w:rPr>
                <w:sz w:val="22"/>
                <w:u w:val="none"/>
              </w:rPr>
              <w:t>Update policy to reflect that recent changes in the Information Practices Act that require all planned releases of personal information to the University of California, or to a non-profit educational institution conducting scientific research, to be reviewed and approved by the Committee for the Protection of Human Subjects of the California Health and Human Services Agency.</w:t>
            </w:r>
          </w:p>
        </w:tc>
      </w:tr>
      <w:tr>
        <w:trPr>
          <w:trHeight w:val="1286" w:hRule="exact"/>
        </w:trPr>
        <w:tc>
          <w:tcPr>
            <w:tcW w:w="1998" w:type="dxa"/>
          </w:tcPr>
          <w:p>
            <w:pPr>
              <w:pStyle w:val="TableParagraph"/>
              <w:rPr>
                <w:b/>
                <w:sz w:val="22"/>
                <w:u w:val="none"/>
              </w:rPr>
            </w:pPr>
            <w:r>
              <w:rPr>
                <w:b/>
                <w:sz w:val="22"/>
                <w:u w:val="none"/>
              </w:rPr>
              <w:t>8776.6</w:t>
            </w:r>
          </w:p>
        </w:tc>
        <w:tc>
          <w:tcPr>
            <w:tcW w:w="7470" w:type="dxa"/>
          </w:tcPr>
          <w:p>
            <w:pPr>
              <w:pStyle w:val="TableParagraph"/>
              <w:ind w:right="92" w:hanging="1"/>
              <w:rPr>
                <w:sz w:val="22"/>
                <w:u w:val="none"/>
              </w:rPr>
            </w:pPr>
            <w:r>
              <w:rPr>
                <w:b/>
                <w:sz w:val="22"/>
                <w:u w:val="thick"/>
              </w:rPr>
              <w:t>Non Employee Accounts Receivable, </w:t>
            </w:r>
            <w:r>
              <w:rPr>
                <w:sz w:val="22"/>
                <w:u w:val="none"/>
              </w:rPr>
              <w:t>Departments are required to review their accounts no less than quarterly to identify receivables for discharge. Also, section updated to provide additional alternatives to locating debtors when the address of the debtor is unknown.</w:t>
            </w:r>
          </w:p>
        </w:tc>
      </w:tr>
    </w:tbl>
    <w:p>
      <w:pPr>
        <w:spacing w:after="0"/>
        <w:rPr>
          <w:sz w:val="22"/>
        </w:rPr>
        <w:sectPr>
          <w:pgSz w:w="12240" w:h="15840"/>
          <w:pgMar w:header="0" w:footer="682" w:top="720" w:bottom="880" w:left="1220" w:right="1320"/>
        </w:sectPr>
      </w:pPr>
    </w:p>
    <w:p>
      <w:pPr>
        <w:spacing w:before="64"/>
        <w:ind w:left="2863" w:right="0" w:firstLine="0"/>
        <w:jc w:val="left"/>
        <w:rPr>
          <w:b/>
          <w:sz w:val="22"/>
        </w:rPr>
      </w:pPr>
      <w:r>
        <w:rPr>
          <w:b/>
          <w:sz w:val="22"/>
        </w:rPr>
        <w:t>REVISION SEQUENCE INSTRUCTIONS</w:t>
      </w:r>
    </w:p>
    <w:p>
      <w:pPr>
        <w:pStyle w:val="BodyText"/>
        <w:spacing w:before="179"/>
        <w:ind w:left="219" w:right="126"/>
      </w:pPr>
      <w:r>
        <w:rPr/>
        <w:t>The SAM is undergoing a format transition. Therefore, page numbers are either at the center bottom or upper right corner of the page.</w:t>
      </w:r>
    </w:p>
    <w:p>
      <w:pPr>
        <w:pStyle w:val="BodyText"/>
        <w:spacing w:before="2"/>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rPr>
                <w:b/>
                <w:sz w:val="22"/>
                <w:u w:val="none"/>
              </w:rPr>
            </w:pPr>
            <w:r>
              <w:rPr>
                <w:b/>
                <w:sz w:val="22"/>
                <w:u w:val="none"/>
              </w:rPr>
              <w:t>Remove Page (s)</w:t>
            </w:r>
          </w:p>
        </w:tc>
        <w:tc>
          <w:tcPr>
            <w:tcW w:w="1710" w:type="dxa"/>
          </w:tcPr>
          <w:p>
            <w:pPr>
              <w:pStyle w:val="TableParagraph"/>
              <w:spacing w:line="244" w:lineRule="auto"/>
              <w:ind w:left="291" w:right="289"/>
              <w:jc w:val="center"/>
              <w:rPr>
                <w:b/>
                <w:sz w:val="22"/>
                <w:u w:val="none"/>
              </w:rPr>
            </w:pPr>
            <w:r>
              <w:rPr>
                <w:b/>
                <w:w w:val="95"/>
                <w:sz w:val="22"/>
                <w:u w:val="none"/>
              </w:rPr>
              <w:t>Consecutive </w:t>
            </w:r>
            <w:r>
              <w:rPr>
                <w:b/>
                <w:sz w:val="22"/>
                <w:u w:val="none"/>
              </w:rPr>
              <w:t>Number of Sheets</w:t>
            </w:r>
          </w:p>
        </w:tc>
        <w:tc>
          <w:tcPr>
            <w:tcW w:w="2610" w:type="dxa"/>
          </w:tcPr>
          <w:p>
            <w:pPr>
              <w:pStyle w:val="TableParagraph"/>
              <w:ind w:left="602" w:right="602"/>
              <w:jc w:val="center"/>
              <w:rPr>
                <w:b/>
                <w:sz w:val="22"/>
                <w:u w:val="none"/>
              </w:rPr>
            </w:pPr>
            <w:r>
              <w:rPr>
                <w:b/>
                <w:sz w:val="22"/>
                <w:u w:val="none"/>
              </w:rPr>
              <w:t>Insert Page (s)</w:t>
            </w:r>
          </w:p>
        </w:tc>
        <w:tc>
          <w:tcPr>
            <w:tcW w:w="1800" w:type="dxa"/>
          </w:tcPr>
          <w:p>
            <w:pPr>
              <w:pStyle w:val="TableParagraph"/>
              <w:spacing w:line="244" w:lineRule="auto"/>
              <w:ind w:left="336" w:right="333"/>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Subject Index Page 1</w:t>
            </w:r>
          </w:p>
        </w:tc>
        <w:tc>
          <w:tcPr>
            <w:tcW w:w="1710" w:type="dxa"/>
          </w:tcPr>
          <w:p>
            <w:pPr>
              <w:pStyle w:val="TableParagraph"/>
              <w:ind w:left="795"/>
              <w:rPr>
                <w:b/>
                <w:sz w:val="22"/>
                <w:u w:val="none"/>
              </w:rPr>
            </w:pPr>
            <w:r>
              <w:rPr>
                <w:b/>
                <w:w w:val="99"/>
                <w:sz w:val="22"/>
                <w:u w:val="none"/>
              </w:rPr>
              <w:t>1</w:t>
            </w:r>
          </w:p>
        </w:tc>
        <w:tc>
          <w:tcPr>
            <w:tcW w:w="2610" w:type="dxa"/>
          </w:tcPr>
          <w:p>
            <w:pPr>
              <w:pStyle w:val="TableParagraph"/>
              <w:ind w:left="602" w:right="601"/>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Subject Index Page 9</w:t>
            </w:r>
          </w:p>
        </w:tc>
        <w:tc>
          <w:tcPr>
            <w:tcW w:w="1710" w:type="dxa"/>
          </w:tcPr>
          <w:p>
            <w:pPr>
              <w:pStyle w:val="TableParagraph"/>
              <w:ind w:left="794"/>
              <w:rPr>
                <w:b/>
                <w:sz w:val="22"/>
                <w:u w:val="none"/>
              </w:rPr>
            </w:pPr>
            <w:r>
              <w:rPr>
                <w:b/>
                <w:w w:val="99"/>
                <w:sz w:val="22"/>
                <w:u w:val="none"/>
              </w:rPr>
              <w:t>1</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Subject Index Page 13 through 16</w:t>
            </w:r>
          </w:p>
        </w:tc>
        <w:tc>
          <w:tcPr>
            <w:tcW w:w="1710" w:type="dxa"/>
          </w:tcPr>
          <w:p>
            <w:pPr>
              <w:pStyle w:val="TableParagraph"/>
              <w:ind w:left="794"/>
              <w:rPr>
                <w:b/>
                <w:sz w:val="22"/>
                <w:u w:val="none"/>
              </w:rPr>
            </w:pPr>
            <w:r>
              <w:rPr>
                <w:b/>
                <w:w w:val="99"/>
                <w:sz w:val="22"/>
                <w:u w:val="none"/>
              </w:rPr>
              <w:t>2</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2</w:t>
            </w:r>
          </w:p>
        </w:tc>
      </w:tr>
      <w:tr>
        <w:trPr>
          <w:trHeight w:val="1042" w:hRule="exact"/>
        </w:trPr>
        <w:tc>
          <w:tcPr>
            <w:tcW w:w="3528" w:type="dxa"/>
          </w:tcPr>
          <w:p>
            <w:pPr>
              <w:pStyle w:val="TableParagraph"/>
              <w:rPr>
                <w:b/>
                <w:sz w:val="22"/>
                <w:u w:val="none"/>
              </w:rPr>
            </w:pPr>
            <w:r>
              <w:rPr>
                <w:b/>
                <w:sz w:val="22"/>
                <w:u w:val="none"/>
              </w:rPr>
              <w:t>New, Chapter 1700 Addendum</w:t>
            </w:r>
          </w:p>
        </w:tc>
        <w:tc>
          <w:tcPr>
            <w:tcW w:w="1710" w:type="dxa"/>
          </w:tcPr>
          <w:p>
            <w:pPr>
              <w:pStyle w:val="TableParagraph"/>
              <w:ind w:left="794"/>
              <w:rPr>
                <w:b/>
                <w:sz w:val="22"/>
                <w:u w:val="none"/>
              </w:rPr>
            </w:pPr>
            <w:r>
              <w:rPr>
                <w:b/>
                <w:w w:val="99"/>
                <w:sz w:val="22"/>
                <w:u w:val="none"/>
              </w:rPr>
              <w:t>7</w:t>
            </w:r>
          </w:p>
        </w:tc>
        <w:tc>
          <w:tcPr>
            <w:tcW w:w="2610" w:type="dxa"/>
          </w:tcPr>
          <w:p>
            <w:pPr>
              <w:pStyle w:val="TableParagraph"/>
              <w:spacing w:line="244" w:lineRule="auto"/>
              <w:ind w:right="480" w:hanging="1"/>
              <w:jc w:val="both"/>
              <w:rPr>
                <w:b/>
                <w:sz w:val="22"/>
                <w:u w:val="none"/>
              </w:rPr>
            </w:pPr>
            <w:r>
              <w:rPr>
                <w:b/>
                <w:sz w:val="22"/>
                <w:u w:val="none"/>
              </w:rPr>
              <w:t>New, place after page 1740 and before 1900 Index.</w:t>
            </w:r>
          </w:p>
        </w:tc>
        <w:tc>
          <w:tcPr>
            <w:tcW w:w="1800" w:type="dxa"/>
          </w:tcPr>
          <w:p>
            <w:pPr>
              <w:pStyle w:val="TableParagraph"/>
              <w:spacing w:line="240" w:lineRule="exact" w:before="0"/>
              <w:ind w:left="0"/>
              <w:jc w:val="center"/>
              <w:rPr>
                <w:b/>
                <w:sz w:val="22"/>
                <w:u w:val="none"/>
              </w:rPr>
            </w:pPr>
            <w:r>
              <w:rPr>
                <w:b/>
                <w:w w:val="99"/>
                <w:sz w:val="22"/>
                <w:u w:val="none"/>
              </w:rPr>
              <w:t>7</w:t>
            </w:r>
          </w:p>
        </w:tc>
      </w:tr>
      <w:tr>
        <w:trPr>
          <w:trHeight w:val="784" w:hRule="exact"/>
        </w:trPr>
        <w:tc>
          <w:tcPr>
            <w:tcW w:w="3528" w:type="dxa"/>
          </w:tcPr>
          <w:p>
            <w:pPr>
              <w:pStyle w:val="TableParagraph"/>
              <w:rPr>
                <w:b/>
                <w:sz w:val="22"/>
                <w:u w:val="none"/>
              </w:rPr>
            </w:pPr>
            <w:r>
              <w:rPr>
                <w:b/>
                <w:sz w:val="22"/>
                <w:u w:val="none"/>
              </w:rPr>
              <w:t>Page 4800 Index through page 5179</w:t>
            </w:r>
          </w:p>
          <w:p>
            <w:pPr>
              <w:pStyle w:val="TableParagraph"/>
              <w:rPr>
                <w:b/>
                <w:sz w:val="22"/>
                <w:u w:val="none"/>
              </w:rPr>
            </w:pPr>
            <w:r>
              <w:rPr>
                <w:b/>
                <w:sz w:val="22"/>
                <w:u w:val="none"/>
              </w:rPr>
              <w:t>(Cont. 1)</w:t>
            </w:r>
          </w:p>
        </w:tc>
        <w:tc>
          <w:tcPr>
            <w:tcW w:w="1710" w:type="dxa"/>
          </w:tcPr>
          <w:p>
            <w:pPr>
              <w:pStyle w:val="TableParagraph"/>
              <w:ind w:left="739"/>
              <w:rPr>
                <w:b/>
                <w:sz w:val="22"/>
                <w:u w:val="none"/>
              </w:rPr>
            </w:pPr>
            <w:r>
              <w:rPr>
                <w:b/>
                <w:sz w:val="22"/>
                <w:u w:val="none"/>
              </w:rPr>
              <w:t>27</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333" w:right="333"/>
              <w:jc w:val="center"/>
              <w:rPr>
                <w:b/>
                <w:sz w:val="22"/>
                <w:u w:val="none"/>
              </w:rPr>
            </w:pPr>
            <w:r>
              <w:rPr>
                <w:b/>
                <w:sz w:val="22"/>
                <w:u w:val="none"/>
              </w:rPr>
              <w:t>27</w:t>
            </w:r>
          </w:p>
        </w:tc>
      </w:tr>
      <w:tr>
        <w:trPr>
          <w:trHeight w:val="526" w:hRule="exact"/>
        </w:trPr>
        <w:tc>
          <w:tcPr>
            <w:tcW w:w="3528" w:type="dxa"/>
          </w:tcPr>
          <w:p>
            <w:pPr>
              <w:pStyle w:val="TableParagraph"/>
              <w:rPr>
                <w:b/>
                <w:sz w:val="22"/>
                <w:u w:val="none"/>
              </w:rPr>
            </w:pPr>
            <w:r>
              <w:rPr>
                <w:b/>
                <w:sz w:val="22"/>
                <w:u w:val="none"/>
              </w:rPr>
              <w:t>Page 5320.2 through page 5335</w:t>
            </w:r>
          </w:p>
        </w:tc>
        <w:tc>
          <w:tcPr>
            <w:tcW w:w="1710" w:type="dxa"/>
          </w:tcPr>
          <w:p>
            <w:pPr>
              <w:pStyle w:val="TableParagraph"/>
              <w:ind w:left="794"/>
              <w:rPr>
                <w:b/>
                <w:sz w:val="22"/>
                <w:u w:val="none"/>
              </w:rPr>
            </w:pPr>
            <w:r>
              <w:rPr>
                <w:b/>
                <w:w w:val="99"/>
                <w:sz w:val="22"/>
                <w:u w:val="none"/>
              </w:rPr>
              <w:t>2</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2</w:t>
            </w:r>
          </w:p>
        </w:tc>
      </w:tr>
      <w:tr>
        <w:trPr>
          <w:trHeight w:val="784" w:hRule="exact"/>
        </w:trPr>
        <w:tc>
          <w:tcPr>
            <w:tcW w:w="3528" w:type="dxa"/>
          </w:tcPr>
          <w:p>
            <w:pPr>
              <w:pStyle w:val="TableParagraph"/>
              <w:rPr>
                <w:b/>
                <w:sz w:val="22"/>
                <w:u w:val="none"/>
              </w:rPr>
            </w:pPr>
            <w:r>
              <w:rPr>
                <w:b/>
                <w:sz w:val="22"/>
                <w:u w:val="none"/>
              </w:rPr>
              <w:t>Page 8776.12 through Page 8776.6</w:t>
            </w:r>
          </w:p>
          <w:p>
            <w:pPr>
              <w:pStyle w:val="TableParagraph"/>
              <w:rPr>
                <w:b/>
                <w:sz w:val="22"/>
                <w:u w:val="none"/>
              </w:rPr>
            </w:pPr>
            <w:r>
              <w:rPr>
                <w:b/>
                <w:sz w:val="22"/>
                <w:u w:val="none"/>
              </w:rPr>
              <w:t>(Cont. 2)</w:t>
            </w:r>
          </w:p>
        </w:tc>
        <w:tc>
          <w:tcPr>
            <w:tcW w:w="1710" w:type="dxa"/>
          </w:tcPr>
          <w:p>
            <w:pPr>
              <w:pStyle w:val="TableParagraph"/>
              <w:ind w:left="794"/>
              <w:rPr>
                <w:b/>
                <w:sz w:val="22"/>
                <w:u w:val="none"/>
              </w:rPr>
            </w:pPr>
            <w:r>
              <w:rPr>
                <w:b/>
                <w:w w:val="99"/>
                <w:sz w:val="22"/>
                <w:u w:val="none"/>
              </w:rPr>
              <w:t>2</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2</w:t>
            </w:r>
          </w:p>
        </w:tc>
      </w:tr>
    </w:tbl>
    <w:sectPr>
      <w:pgSz w:w="12240" w:h="15840"/>
      <w:pgMar w:header="0" w:footer="682" w:top="66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pt;height:13.1pt;mso-position-horizontal-relative:page;mso-position-vertical-relative:page;z-index:-6904" type="#_x0000_t202" filled="false" stroked="false">
          <v:textbox inset="0,0,0,0">
            <w:txbxContent>
              <w:p>
                <w:pPr>
                  <w:spacing w:before="12"/>
                  <w:ind w:left="20" w:right="0" w:firstLine="0"/>
                  <w:jc w:val="left"/>
                  <w:rPr>
                    <w:b/>
                    <w:sz w:val="20"/>
                  </w:rPr>
                </w:pPr>
                <w:r>
                  <w:rPr>
                    <w:b/>
                    <w:sz w:val="20"/>
                  </w:rPr>
                  <w:t>Rev. 403</w:t>
                </w:r>
              </w:p>
            </w:txbxContent>
          </v:textbox>
          <w10:wrap type="none"/>
        </v:shape>
      </w:pict>
    </w:r>
    <w:r>
      <w:rPr/>
      <w:pict>
        <v:shape style="position:absolute;margin-left:454.575623pt;margin-top:743.911072pt;width:86.45pt;height:13.1pt;mso-position-horizontal-relative:page;mso-position-vertical-relative:page;z-index:-6880" type="#_x0000_t202" filled="false" stroked="false">
          <v:textbox inset="0,0,0,0">
            <w:txbxContent>
              <w:p>
                <w:pPr>
                  <w:spacing w:before="12"/>
                  <w:ind w:left="20" w:right="0" w:firstLine="0"/>
                  <w:jc w:val="left"/>
                  <w:rPr>
                    <w:b/>
                    <w:sz w:val="20"/>
                  </w:rPr>
                </w:pPr>
                <w:r>
                  <w:rPr>
                    <w:b/>
                    <w:sz w:val="20"/>
                  </w:rPr>
                  <w:t>SEPTEMBER 2008</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2020-07-14T11:01:59Z</dcterms:created>
  <dcterms:modified xsi:type="dcterms:W3CDTF">2020-07-14T11:01:59Z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2008-09-30T00:00:00Z</vt:filetime>
  </property>
  <property fmtid="{D5CDD505-2E9C-101B-9397-08002B2CF9AE}" pid="3" name="Creator">
    <vt:lpwstr>Acrobat PDFMaker 7.0 for Word</vt:lpwstr>
  </property>
  <property fmtid="{D5CDD505-2E9C-101B-9397-08002B2CF9AE}" pid="4" name="LastSaved">
    <vt:filetime>2020-07-14T00:00:00Z</vt:filetime>
  </property>
</Properties>
</file>