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11"/>
      </w:pPr>
    </w:p>
    <w:p>
      <w:pPr>
        <w:pStyle w:val="Heading1"/>
        <w:tabs>
          <w:tab w:pos="3930" w:val="left" w:leader="none"/>
        </w:tabs>
      </w:pPr>
      <w:r>
        <w:rPr/>
        <w:t>ITEM</w:t>
        <w:tab/>
        <w:t>SUMMARY</w:t>
      </w:r>
    </w:p>
    <w:p>
      <w:pPr>
        <w:pStyle w:val="BodyText"/>
        <w:spacing w:before="5"/>
        <w:rPr>
          <w:b/>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527" w:hRule="exact"/>
        </w:trPr>
        <w:tc>
          <w:tcPr>
            <w:tcW w:w="1998" w:type="dxa"/>
          </w:tcPr>
          <w:p>
            <w:pPr>
              <w:pStyle w:val="TableParagraph"/>
              <w:rPr>
                <w:b/>
                <w:sz w:val="22"/>
                <w:u w:val="none"/>
              </w:rPr>
            </w:pPr>
            <w:r>
              <w:rPr>
                <w:b/>
                <w:sz w:val="22"/>
                <w:u w:val="none"/>
              </w:rPr>
              <w:t>4800 Index</w:t>
            </w:r>
          </w:p>
        </w:tc>
        <w:tc>
          <w:tcPr>
            <w:tcW w:w="7470" w:type="dxa"/>
          </w:tcPr>
          <w:p>
            <w:pPr>
              <w:pStyle w:val="TableParagraph"/>
              <w:rPr>
                <w:sz w:val="22"/>
                <w:u w:val="none"/>
              </w:rPr>
            </w:pPr>
            <w:r>
              <w:rPr>
                <w:b/>
                <w:sz w:val="22"/>
                <w:u w:val="thick"/>
              </w:rPr>
              <w:t>4800 Index, </w:t>
            </w:r>
            <w:r>
              <w:rPr>
                <w:sz w:val="22"/>
                <w:u w:val="none"/>
              </w:rPr>
              <w:t>rename sections 4904 and 4925.</w:t>
            </w:r>
          </w:p>
        </w:tc>
      </w:tr>
      <w:tr>
        <w:trPr>
          <w:trHeight w:val="268" w:hRule="exact"/>
        </w:trPr>
        <w:tc>
          <w:tcPr>
            <w:tcW w:w="1998" w:type="dxa"/>
            <w:tcBorders>
              <w:bottom w:val="nil"/>
            </w:tcBorders>
          </w:tcPr>
          <w:p>
            <w:pPr>
              <w:pStyle w:val="TableParagraph"/>
              <w:rPr>
                <w:b/>
                <w:sz w:val="22"/>
                <w:u w:val="none"/>
              </w:rPr>
            </w:pPr>
            <w:r>
              <w:rPr>
                <w:b/>
                <w:sz w:val="22"/>
                <w:u w:val="none"/>
              </w:rPr>
              <w:t>Sections 4819.31,</w:t>
            </w:r>
          </w:p>
        </w:tc>
        <w:tc>
          <w:tcPr>
            <w:tcW w:w="7470" w:type="dxa"/>
            <w:tcBorders>
              <w:bottom w:val="nil"/>
            </w:tcBorders>
          </w:tcPr>
          <w:p>
            <w:pPr>
              <w:pStyle w:val="TableParagraph"/>
              <w:rPr>
                <w:sz w:val="22"/>
                <w:u w:val="none"/>
              </w:rPr>
            </w:pPr>
            <w:r>
              <w:rPr>
                <w:b/>
                <w:sz w:val="22"/>
                <w:u w:val="thick"/>
              </w:rPr>
              <w:t>Information Management, </w:t>
            </w:r>
            <w:r>
              <w:rPr>
                <w:sz w:val="22"/>
                <w:u w:val="none"/>
              </w:rPr>
              <w:t>changed “Operational Recovery Plan (ORP)”</w:t>
            </w:r>
          </w:p>
        </w:tc>
      </w:tr>
      <w:tr>
        <w:trPr>
          <w:trHeight w:val="256" w:hRule="exact"/>
        </w:trPr>
        <w:tc>
          <w:tcPr>
            <w:tcW w:w="1998" w:type="dxa"/>
            <w:tcBorders>
              <w:top w:val="nil"/>
              <w:bottom w:val="nil"/>
            </w:tcBorders>
          </w:tcPr>
          <w:p>
            <w:pPr>
              <w:pStyle w:val="TableParagraph"/>
              <w:spacing w:line="252" w:lineRule="exact" w:before="0"/>
              <w:rPr>
                <w:b/>
                <w:sz w:val="22"/>
                <w:u w:val="none"/>
              </w:rPr>
            </w:pPr>
            <w:r>
              <w:rPr>
                <w:b/>
                <w:sz w:val="22"/>
                <w:u w:val="none"/>
              </w:rPr>
              <w:t>.34, .37, 4989, &amp;</w:t>
            </w:r>
          </w:p>
        </w:tc>
        <w:tc>
          <w:tcPr>
            <w:tcW w:w="7470" w:type="dxa"/>
            <w:tcBorders>
              <w:top w:val="nil"/>
              <w:bottom w:val="nil"/>
            </w:tcBorders>
          </w:tcPr>
          <w:p>
            <w:pPr>
              <w:pStyle w:val="TableParagraph"/>
              <w:spacing w:line="249" w:lineRule="exact" w:before="0"/>
              <w:rPr>
                <w:sz w:val="22"/>
                <w:u w:val="none"/>
              </w:rPr>
            </w:pPr>
            <w:r>
              <w:rPr>
                <w:sz w:val="22"/>
                <w:u w:val="none"/>
              </w:rPr>
              <w:t>references to “Disaster Recovery Plan (DRP)” in conjunction with similar</w:t>
            </w:r>
          </w:p>
        </w:tc>
      </w:tr>
      <w:tr>
        <w:trPr>
          <w:trHeight w:val="253" w:hRule="exact"/>
        </w:trPr>
        <w:tc>
          <w:tcPr>
            <w:tcW w:w="1998" w:type="dxa"/>
            <w:tcBorders>
              <w:top w:val="nil"/>
              <w:bottom w:val="nil"/>
            </w:tcBorders>
          </w:tcPr>
          <w:p>
            <w:pPr>
              <w:pStyle w:val="TableParagraph"/>
              <w:spacing w:before="1"/>
              <w:rPr>
                <w:b/>
                <w:sz w:val="22"/>
                <w:u w:val="none"/>
              </w:rPr>
            </w:pPr>
            <w:r>
              <w:rPr>
                <w:b/>
                <w:sz w:val="22"/>
                <w:u w:val="none"/>
              </w:rPr>
              <w:t>4989.3</w:t>
            </w:r>
          </w:p>
        </w:tc>
        <w:tc>
          <w:tcPr>
            <w:tcW w:w="7470" w:type="dxa"/>
            <w:tcBorders>
              <w:top w:val="nil"/>
              <w:bottom w:val="nil"/>
            </w:tcBorders>
          </w:tcPr>
          <w:p>
            <w:pPr>
              <w:pStyle w:val="TableParagraph"/>
              <w:spacing w:line="247" w:lineRule="exact" w:before="0"/>
              <w:rPr>
                <w:sz w:val="22"/>
                <w:u w:val="none"/>
              </w:rPr>
            </w:pPr>
            <w:r>
              <w:rPr>
                <w:sz w:val="22"/>
                <w:u w:val="none"/>
              </w:rPr>
              <w:t>reference changes made in the Office of Information Security and Privacy</w:t>
            </w:r>
          </w:p>
        </w:tc>
      </w:tr>
      <w:tr>
        <w:trPr>
          <w:trHeight w:val="509" w:hRule="exact"/>
        </w:trPr>
        <w:tc>
          <w:tcPr>
            <w:tcW w:w="1998" w:type="dxa"/>
            <w:tcBorders>
              <w:top w:val="nil"/>
            </w:tcBorders>
          </w:tcPr>
          <w:p>
            <w:pPr/>
          </w:p>
        </w:tc>
        <w:tc>
          <w:tcPr>
            <w:tcW w:w="7470" w:type="dxa"/>
            <w:tcBorders>
              <w:top w:val="nil"/>
            </w:tcBorders>
          </w:tcPr>
          <w:p>
            <w:pPr>
              <w:pStyle w:val="TableParagraph"/>
              <w:spacing w:line="249" w:lineRule="exact" w:before="0"/>
              <w:rPr>
                <w:sz w:val="22"/>
                <w:u w:val="none"/>
              </w:rPr>
            </w:pPr>
            <w:r>
              <w:rPr>
                <w:sz w:val="22"/>
                <w:u w:val="none"/>
              </w:rPr>
              <w:t>Protection in accordance with Management Memo 08-10.</w:t>
            </w:r>
          </w:p>
        </w:tc>
      </w:tr>
      <w:tr>
        <w:trPr>
          <w:trHeight w:val="268" w:hRule="exact"/>
        </w:trPr>
        <w:tc>
          <w:tcPr>
            <w:tcW w:w="1998" w:type="dxa"/>
            <w:vMerge w:val="restart"/>
          </w:tcPr>
          <w:p>
            <w:pPr>
              <w:pStyle w:val="TableParagraph"/>
              <w:rPr>
                <w:b/>
                <w:sz w:val="22"/>
                <w:u w:val="none"/>
              </w:rPr>
            </w:pPr>
            <w:r>
              <w:rPr>
                <w:b/>
                <w:sz w:val="22"/>
                <w:u w:val="none"/>
              </w:rPr>
              <w:t>5300 Index</w:t>
            </w:r>
          </w:p>
        </w:tc>
        <w:tc>
          <w:tcPr>
            <w:tcW w:w="7470" w:type="dxa"/>
            <w:tcBorders>
              <w:bottom w:val="nil"/>
            </w:tcBorders>
          </w:tcPr>
          <w:p>
            <w:pPr>
              <w:pStyle w:val="TableParagraph"/>
              <w:rPr>
                <w:sz w:val="22"/>
                <w:u w:val="none"/>
              </w:rPr>
            </w:pPr>
            <w:r>
              <w:rPr>
                <w:b/>
                <w:sz w:val="22"/>
                <w:u w:val="thick"/>
              </w:rPr>
              <w:t>Add new Section 5350.4, </w:t>
            </w:r>
            <w:r>
              <w:rPr>
                <w:sz w:val="22"/>
                <w:u w:val="none"/>
              </w:rPr>
              <w:t>and changed “Operational Recovery” to “Disaster</w:t>
            </w:r>
          </w:p>
        </w:tc>
      </w:tr>
      <w:tr>
        <w:trPr>
          <w:trHeight w:val="510" w:hRule="exact"/>
        </w:trPr>
        <w:tc>
          <w:tcPr>
            <w:tcW w:w="1998" w:type="dxa"/>
            <w:vMerge/>
          </w:tcPr>
          <w:p>
            <w:pPr/>
          </w:p>
        </w:tc>
        <w:tc>
          <w:tcPr>
            <w:tcW w:w="7470" w:type="dxa"/>
            <w:tcBorders>
              <w:top w:val="nil"/>
            </w:tcBorders>
          </w:tcPr>
          <w:p>
            <w:pPr>
              <w:pStyle w:val="TableParagraph"/>
              <w:spacing w:line="249" w:lineRule="exact" w:before="0"/>
              <w:rPr>
                <w:sz w:val="22"/>
                <w:u w:val="none"/>
              </w:rPr>
            </w:pPr>
            <w:r>
              <w:rPr>
                <w:sz w:val="22"/>
                <w:u w:val="none"/>
              </w:rPr>
              <w:t>Recovery” in Section 5355.1 and 5355.2</w:t>
            </w:r>
          </w:p>
        </w:tc>
      </w:tr>
      <w:tr>
        <w:trPr>
          <w:trHeight w:val="270" w:hRule="exact"/>
        </w:trPr>
        <w:tc>
          <w:tcPr>
            <w:tcW w:w="1998" w:type="dxa"/>
            <w:tcBorders>
              <w:bottom w:val="nil"/>
            </w:tcBorders>
          </w:tcPr>
          <w:p>
            <w:pPr>
              <w:pStyle w:val="TableParagraph"/>
              <w:rPr>
                <w:b/>
                <w:sz w:val="22"/>
                <w:u w:val="none"/>
              </w:rPr>
            </w:pPr>
            <w:r>
              <w:rPr>
                <w:b/>
                <w:sz w:val="22"/>
                <w:u w:val="none"/>
              </w:rPr>
              <w:t>Sections 5315.1</w:t>
            </w:r>
          </w:p>
        </w:tc>
        <w:tc>
          <w:tcPr>
            <w:tcW w:w="7470" w:type="dxa"/>
            <w:vMerge w:val="restart"/>
          </w:tcPr>
          <w:p>
            <w:pPr>
              <w:pStyle w:val="TableParagraph"/>
              <w:rPr>
                <w:sz w:val="22"/>
                <w:u w:val="none"/>
              </w:rPr>
            </w:pPr>
            <w:r>
              <w:rPr>
                <w:b/>
                <w:sz w:val="22"/>
                <w:u w:val="thick"/>
              </w:rPr>
              <w:t>Global-Changed </w:t>
            </w:r>
            <w:r>
              <w:rPr>
                <w:sz w:val="22"/>
                <w:u w:val="none"/>
              </w:rPr>
              <w:t>“Operational Recovery” to “Disaster Recovery”.</w:t>
            </w:r>
          </w:p>
        </w:tc>
      </w:tr>
      <w:tr>
        <w:trPr>
          <w:trHeight w:val="514" w:hRule="exact"/>
        </w:trPr>
        <w:tc>
          <w:tcPr>
            <w:tcW w:w="1998" w:type="dxa"/>
            <w:tcBorders>
              <w:top w:val="nil"/>
            </w:tcBorders>
          </w:tcPr>
          <w:p>
            <w:pPr>
              <w:pStyle w:val="TableParagraph"/>
              <w:spacing w:line="251" w:lineRule="exact" w:before="0"/>
              <w:rPr>
                <w:b/>
                <w:sz w:val="22"/>
                <w:u w:val="none"/>
              </w:rPr>
            </w:pPr>
            <w:r>
              <w:rPr>
                <w:b/>
                <w:sz w:val="22"/>
                <w:u w:val="none"/>
              </w:rPr>
              <w:t>through 5360</w:t>
            </w:r>
          </w:p>
        </w:tc>
        <w:tc>
          <w:tcPr>
            <w:tcW w:w="7470" w:type="dxa"/>
            <w:vMerge/>
          </w:tcPr>
          <w:p>
            <w:pPr/>
          </w:p>
        </w:tc>
      </w:tr>
      <w:tr>
        <w:trPr>
          <w:trHeight w:val="523" w:hRule="exact"/>
        </w:trPr>
        <w:tc>
          <w:tcPr>
            <w:tcW w:w="1998" w:type="dxa"/>
          </w:tcPr>
          <w:p>
            <w:pPr>
              <w:pStyle w:val="TableParagraph"/>
              <w:rPr>
                <w:b/>
                <w:sz w:val="22"/>
                <w:u w:val="none"/>
              </w:rPr>
            </w:pPr>
            <w:r>
              <w:rPr>
                <w:b/>
                <w:sz w:val="22"/>
                <w:u w:val="none"/>
              </w:rPr>
              <w:t>8400 Index</w:t>
            </w:r>
          </w:p>
        </w:tc>
        <w:tc>
          <w:tcPr>
            <w:tcW w:w="7470" w:type="dxa"/>
          </w:tcPr>
          <w:p>
            <w:pPr>
              <w:pStyle w:val="TableParagraph"/>
              <w:rPr>
                <w:sz w:val="22"/>
                <w:u w:val="none"/>
              </w:rPr>
            </w:pPr>
            <w:r>
              <w:rPr>
                <w:b/>
                <w:sz w:val="22"/>
                <w:u w:val="thick"/>
              </w:rPr>
              <w:t>8400 Index, </w:t>
            </w:r>
            <w:r>
              <w:rPr>
                <w:sz w:val="22"/>
                <w:u w:val="none"/>
              </w:rPr>
              <w:t>revised titles of 8422.194 and 8422.196</w:t>
            </w:r>
          </w:p>
        </w:tc>
      </w:tr>
      <w:tr>
        <w:trPr>
          <w:trHeight w:val="268" w:hRule="exact"/>
        </w:trPr>
        <w:tc>
          <w:tcPr>
            <w:tcW w:w="1998" w:type="dxa"/>
            <w:vMerge w:val="restart"/>
          </w:tcPr>
          <w:p>
            <w:pPr>
              <w:pStyle w:val="TableParagraph"/>
              <w:rPr>
                <w:b/>
                <w:sz w:val="22"/>
                <w:u w:val="none"/>
              </w:rPr>
            </w:pPr>
            <w:r>
              <w:rPr>
                <w:b/>
                <w:sz w:val="22"/>
                <w:u w:val="none"/>
              </w:rPr>
              <w:t>Section 8422.116</w:t>
            </w:r>
          </w:p>
        </w:tc>
        <w:tc>
          <w:tcPr>
            <w:tcW w:w="7470" w:type="dxa"/>
            <w:tcBorders>
              <w:bottom w:val="nil"/>
            </w:tcBorders>
          </w:tcPr>
          <w:p>
            <w:pPr>
              <w:pStyle w:val="TableParagraph"/>
              <w:rPr>
                <w:sz w:val="22"/>
                <w:u w:val="none"/>
              </w:rPr>
            </w:pPr>
            <w:r>
              <w:rPr>
                <w:b/>
                <w:sz w:val="22"/>
                <w:u w:val="thick"/>
              </w:rPr>
              <w:t>Invoices From Sole Proprietor Vendors or Individuals, </w:t>
            </w:r>
            <w:r>
              <w:rPr>
                <w:sz w:val="22"/>
                <w:u w:val="none"/>
              </w:rPr>
              <w:t>updated website</w:t>
            </w:r>
          </w:p>
        </w:tc>
      </w:tr>
      <w:tr>
        <w:trPr>
          <w:trHeight w:val="510" w:hRule="exact"/>
        </w:trPr>
        <w:tc>
          <w:tcPr>
            <w:tcW w:w="1998" w:type="dxa"/>
            <w:vMerge/>
          </w:tcPr>
          <w:p>
            <w:pPr/>
          </w:p>
        </w:tc>
        <w:tc>
          <w:tcPr>
            <w:tcW w:w="7470" w:type="dxa"/>
            <w:tcBorders>
              <w:top w:val="nil"/>
            </w:tcBorders>
          </w:tcPr>
          <w:p>
            <w:pPr>
              <w:pStyle w:val="TableParagraph"/>
              <w:spacing w:line="249" w:lineRule="exact" w:before="0"/>
              <w:rPr>
                <w:sz w:val="22"/>
                <w:u w:val="none"/>
              </w:rPr>
            </w:pPr>
            <w:r>
              <w:rPr>
                <w:sz w:val="22"/>
                <w:u w:val="none"/>
              </w:rPr>
              <w:t>address.</w:t>
            </w:r>
          </w:p>
        </w:tc>
      </w:tr>
      <w:tr>
        <w:trPr>
          <w:trHeight w:val="523" w:hRule="exact"/>
        </w:trPr>
        <w:tc>
          <w:tcPr>
            <w:tcW w:w="1998" w:type="dxa"/>
          </w:tcPr>
          <w:p>
            <w:pPr>
              <w:pStyle w:val="TableParagraph"/>
              <w:rPr>
                <w:b/>
                <w:sz w:val="22"/>
                <w:u w:val="none"/>
              </w:rPr>
            </w:pPr>
            <w:r>
              <w:rPr>
                <w:b/>
                <w:sz w:val="22"/>
                <w:u w:val="none"/>
              </w:rPr>
              <w:t>8422.19</w:t>
            </w:r>
          </w:p>
        </w:tc>
        <w:tc>
          <w:tcPr>
            <w:tcW w:w="7470" w:type="dxa"/>
          </w:tcPr>
          <w:p>
            <w:pPr>
              <w:pStyle w:val="TableParagraph"/>
              <w:rPr>
                <w:sz w:val="22"/>
                <w:u w:val="none"/>
              </w:rPr>
            </w:pPr>
            <w:r>
              <w:rPr>
                <w:b/>
                <w:sz w:val="22"/>
                <w:u w:val="thick"/>
              </w:rPr>
              <w:t>Reportable Payments, </w:t>
            </w:r>
            <w:r>
              <w:rPr>
                <w:sz w:val="22"/>
                <w:u w:val="none"/>
              </w:rPr>
              <w:t>updated website and reference information</w:t>
            </w:r>
          </w:p>
        </w:tc>
      </w:tr>
      <w:tr>
        <w:trPr>
          <w:trHeight w:val="268" w:hRule="exact"/>
        </w:trPr>
        <w:tc>
          <w:tcPr>
            <w:tcW w:w="1998" w:type="dxa"/>
            <w:vMerge w:val="restart"/>
          </w:tcPr>
          <w:p>
            <w:pPr>
              <w:pStyle w:val="TableParagraph"/>
              <w:rPr>
                <w:b/>
                <w:sz w:val="22"/>
                <w:u w:val="none"/>
              </w:rPr>
            </w:pPr>
            <w:r>
              <w:rPr>
                <w:b/>
                <w:sz w:val="22"/>
                <w:u w:val="none"/>
              </w:rPr>
              <w:t>8422.190</w:t>
            </w:r>
          </w:p>
        </w:tc>
        <w:tc>
          <w:tcPr>
            <w:tcW w:w="7470" w:type="dxa"/>
            <w:tcBorders>
              <w:bottom w:val="nil"/>
            </w:tcBorders>
          </w:tcPr>
          <w:p>
            <w:pPr>
              <w:pStyle w:val="TableParagraph"/>
              <w:rPr>
                <w:sz w:val="22"/>
                <w:u w:val="none"/>
              </w:rPr>
            </w:pPr>
            <w:r>
              <w:rPr>
                <w:b/>
                <w:sz w:val="22"/>
                <w:u w:val="thick"/>
              </w:rPr>
              <w:t>Reportable Payment Identification and Classification Requirements, </w:t>
            </w:r>
            <w:r>
              <w:rPr>
                <w:sz w:val="22"/>
                <w:u w:val="none"/>
              </w:rPr>
              <w:t>Updated</w:t>
            </w:r>
          </w:p>
        </w:tc>
      </w:tr>
      <w:tr>
        <w:trPr>
          <w:trHeight w:val="1018" w:hRule="exact"/>
        </w:trPr>
        <w:tc>
          <w:tcPr>
            <w:tcW w:w="1998" w:type="dxa"/>
            <w:vMerge/>
          </w:tcPr>
          <w:p>
            <w:pPr/>
          </w:p>
        </w:tc>
        <w:tc>
          <w:tcPr>
            <w:tcW w:w="7470" w:type="dxa"/>
            <w:tcBorders>
              <w:top w:val="nil"/>
            </w:tcBorders>
          </w:tcPr>
          <w:p>
            <w:pPr>
              <w:pStyle w:val="TableParagraph"/>
              <w:spacing w:line="242" w:lineRule="auto" w:before="0"/>
              <w:ind w:right="72"/>
              <w:rPr>
                <w:sz w:val="22"/>
                <w:u w:val="none"/>
              </w:rPr>
            </w:pPr>
            <w:r>
              <w:rPr>
                <w:sz w:val="22"/>
                <w:u w:val="none"/>
              </w:rPr>
              <w:t>federal backup withholding percentage, nonresident state income tax withholding information; and information found on Form 1099 MISC, and replaced illustration 1, STD. 204, Payee Data Record</w:t>
            </w:r>
          </w:p>
        </w:tc>
      </w:tr>
      <w:tr>
        <w:trPr>
          <w:trHeight w:val="268" w:hRule="exact"/>
        </w:trPr>
        <w:tc>
          <w:tcPr>
            <w:tcW w:w="1998" w:type="dxa"/>
            <w:vMerge w:val="restart"/>
          </w:tcPr>
          <w:p>
            <w:pPr>
              <w:pStyle w:val="TableParagraph"/>
              <w:rPr>
                <w:b/>
                <w:sz w:val="22"/>
                <w:u w:val="none"/>
              </w:rPr>
            </w:pPr>
            <w:r>
              <w:rPr>
                <w:b/>
                <w:sz w:val="22"/>
                <w:u w:val="none"/>
              </w:rPr>
              <w:t>8422.191</w:t>
            </w:r>
          </w:p>
        </w:tc>
        <w:tc>
          <w:tcPr>
            <w:tcW w:w="7470" w:type="dxa"/>
            <w:tcBorders>
              <w:bottom w:val="nil"/>
            </w:tcBorders>
          </w:tcPr>
          <w:p>
            <w:pPr>
              <w:pStyle w:val="TableParagraph"/>
              <w:rPr>
                <w:sz w:val="22"/>
                <w:u w:val="none"/>
              </w:rPr>
            </w:pPr>
            <w:r>
              <w:rPr>
                <w:b/>
                <w:sz w:val="22"/>
                <w:u w:val="thick"/>
              </w:rPr>
              <w:t>State Agencies Reporting Annual Information Returns, </w:t>
            </w:r>
            <w:r>
              <w:rPr>
                <w:sz w:val="22"/>
                <w:u w:val="none"/>
              </w:rPr>
              <w:t>updated IRS contact</w:t>
            </w:r>
          </w:p>
        </w:tc>
      </w:tr>
      <w:tr>
        <w:trPr>
          <w:trHeight w:val="764" w:hRule="exact"/>
        </w:trPr>
        <w:tc>
          <w:tcPr>
            <w:tcW w:w="1998" w:type="dxa"/>
            <w:vMerge/>
          </w:tcPr>
          <w:p>
            <w:pPr/>
          </w:p>
        </w:tc>
        <w:tc>
          <w:tcPr>
            <w:tcW w:w="7470" w:type="dxa"/>
            <w:tcBorders>
              <w:top w:val="nil"/>
            </w:tcBorders>
          </w:tcPr>
          <w:p>
            <w:pPr>
              <w:pStyle w:val="TableParagraph"/>
              <w:spacing w:line="242" w:lineRule="auto" w:before="0"/>
              <w:ind w:right="171"/>
              <w:rPr>
                <w:sz w:val="22"/>
                <w:u w:val="none"/>
              </w:rPr>
            </w:pPr>
            <w:r>
              <w:rPr>
                <w:sz w:val="22"/>
                <w:u w:val="none"/>
              </w:rPr>
              <w:t>information and included information regarding the discontinued use of magnetic media reporting to the IRS</w:t>
            </w:r>
          </w:p>
        </w:tc>
      </w:tr>
      <w:tr>
        <w:trPr>
          <w:trHeight w:val="268" w:hRule="exact"/>
        </w:trPr>
        <w:tc>
          <w:tcPr>
            <w:tcW w:w="1998" w:type="dxa"/>
            <w:vMerge w:val="restart"/>
          </w:tcPr>
          <w:p>
            <w:pPr>
              <w:pStyle w:val="TableParagraph"/>
              <w:rPr>
                <w:b/>
                <w:sz w:val="22"/>
                <w:u w:val="none"/>
              </w:rPr>
            </w:pPr>
            <w:r>
              <w:rPr>
                <w:b/>
                <w:sz w:val="22"/>
                <w:u w:val="none"/>
              </w:rPr>
              <w:t>8422.192</w:t>
            </w:r>
          </w:p>
        </w:tc>
        <w:tc>
          <w:tcPr>
            <w:tcW w:w="7470" w:type="dxa"/>
            <w:tcBorders>
              <w:bottom w:val="nil"/>
            </w:tcBorders>
          </w:tcPr>
          <w:p>
            <w:pPr>
              <w:pStyle w:val="TableParagraph"/>
              <w:rPr>
                <w:sz w:val="22"/>
                <w:u w:val="none"/>
              </w:rPr>
            </w:pPr>
            <w:r>
              <w:rPr>
                <w:b/>
                <w:sz w:val="22"/>
                <w:u w:val="thick"/>
              </w:rPr>
              <w:t>Issuing Corrected Information (Form 1099) Returns, </w:t>
            </w:r>
            <w:r>
              <w:rPr>
                <w:sz w:val="22"/>
                <w:u w:val="none"/>
              </w:rPr>
              <w:t>updated information</w:t>
            </w:r>
          </w:p>
        </w:tc>
      </w:tr>
      <w:tr>
        <w:trPr>
          <w:trHeight w:val="510" w:hRule="exact"/>
        </w:trPr>
        <w:tc>
          <w:tcPr>
            <w:tcW w:w="1998" w:type="dxa"/>
            <w:vMerge/>
          </w:tcPr>
          <w:p>
            <w:pPr/>
          </w:p>
        </w:tc>
        <w:tc>
          <w:tcPr>
            <w:tcW w:w="7470" w:type="dxa"/>
            <w:tcBorders>
              <w:top w:val="nil"/>
            </w:tcBorders>
          </w:tcPr>
          <w:p>
            <w:pPr>
              <w:pStyle w:val="TableParagraph"/>
              <w:spacing w:line="249" w:lineRule="exact" w:before="0"/>
              <w:rPr>
                <w:sz w:val="22"/>
                <w:u w:val="none"/>
              </w:rPr>
            </w:pPr>
            <w:r>
              <w:rPr>
                <w:sz w:val="22"/>
                <w:u w:val="none"/>
              </w:rPr>
              <w:t>regarding the filing of less than 250 corrected returns</w:t>
            </w:r>
          </w:p>
        </w:tc>
      </w:tr>
      <w:tr>
        <w:trPr>
          <w:trHeight w:val="268" w:hRule="exact"/>
        </w:trPr>
        <w:tc>
          <w:tcPr>
            <w:tcW w:w="1998" w:type="dxa"/>
            <w:vMerge w:val="restart"/>
          </w:tcPr>
          <w:p>
            <w:pPr>
              <w:pStyle w:val="TableParagraph"/>
              <w:rPr>
                <w:b/>
                <w:sz w:val="22"/>
                <w:u w:val="none"/>
              </w:rPr>
            </w:pPr>
            <w:r>
              <w:rPr>
                <w:b/>
                <w:sz w:val="22"/>
                <w:u w:val="none"/>
              </w:rPr>
              <w:t>8422.193</w:t>
            </w:r>
          </w:p>
        </w:tc>
        <w:tc>
          <w:tcPr>
            <w:tcW w:w="7470" w:type="dxa"/>
            <w:tcBorders>
              <w:bottom w:val="nil"/>
            </w:tcBorders>
          </w:tcPr>
          <w:p>
            <w:pPr>
              <w:pStyle w:val="TableParagraph"/>
              <w:rPr>
                <w:sz w:val="22"/>
                <w:u w:val="none"/>
              </w:rPr>
            </w:pPr>
            <w:r>
              <w:rPr>
                <w:b/>
                <w:sz w:val="22"/>
                <w:u w:val="thick"/>
              </w:rPr>
              <w:t>Consequences of Incorrect Information Reporting, </w:t>
            </w:r>
            <w:r>
              <w:rPr>
                <w:sz w:val="22"/>
                <w:u w:val="none"/>
              </w:rPr>
              <w:t>added required notice by</w:t>
            </w:r>
          </w:p>
        </w:tc>
      </w:tr>
      <w:tr>
        <w:trPr>
          <w:trHeight w:val="255" w:hRule="exact"/>
        </w:trPr>
        <w:tc>
          <w:tcPr>
            <w:tcW w:w="1998" w:type="dxa"/>
            <w:vMerge/>
          </w:tcPr>
          <w:p>
            <w:pPr/>
          </w:p>
        </w:tc>
        <w:tc>
          <w:tcPr>
            <w:tcW w:w="7470" w:type="dxa"/>
            <w:tcBorders>
              <w:top w:val="nil"/>
              <w:bottom w:val="nil"/>
            </w:tcBorders>
          </w:tcPr>
          <w:p>
            <w:pPr>
              <w:pStyle w:val="TableParagraph"/>
              <w:spacing w:line="249" w:lineRule="exact" w:before="0"/>
              <w:rPr>
                <w:sz w:val="22"/>
                <w:u w:val="none"/>
              </w:rPr>
            </w:pPr>
            <w:r>
              <w:rPr>
                <w:sz w:val="22"/>
                <w:u w:val="none"/>
              </w:rPr>
              <w:t>agencies to certain payees to avoid penalties; changed federal backup withholding</w:t>
            </w:r>
          </w:p>
        </w:tc>
      </w:tr>
      <w:tr>
        <w:trPr>
          <w:trHeight w:val="510" w:hRule="exact"/>
        </w:trPr>
        <w:tc>
          <w:tcPr>
            <w:tcW w:w="1998" w:type="dxa"/>
            <w:vMerge/>
          </w:tcPr>
          <w:p>
            <w:pPr/>
          </w:p>
        </w:tc>
        <w:tc>
          <w:tcPr>
            <w:tcW w:w="7470" w:type="dxa"/>
            <w:tcBorders>
              <w:top w:val="nil"/>
            </w:tcBorders>
          </w:tcPr>
          <w:p>
            <w:pPr>
              <w:pStyle w:val="TableParagraph"/>
              <w:spacing w:line="249" w:lineRule="exact" w:before="0"/>
              <w:rPr>
                <w:sz w:val="22"/>
                <w:u w:val="none"/>
              </w:rPr>
            </w:pPr>
            <w:r>
              <w:rPr>
                <w:sz w:val="22"/>
                <w:u w:val="none"/>
              </w:rPr>
              <w:t>percentage</w:t>
            </w:r>
          </w:p>
        </w:tc>
      </w:tr>
      <w:tr>
        <w:trPr>
          <w:trHeight w:val="268" w:hRule="exact"/>
        </w:trPr>
        <w:tc>
          <w:tcPr>
            <w:tcW w:w="1998" w:type="dxa"/>
            <w:vMerge w:val="restart"/>
          </w:tcPr>
          <w:p>
            <w:pPr>
              <w:pStyle w:val="TableParagraph"/>
              <w:rPr>
                <w:b/>
                <w:sz w:val="22"/>
                <w:u w:val="none"/>
              </w:rPr>
            </w:pPr>
            <w:r>
              <w:rPr>
                <w:b/>
                <w:sz w:val="22"/>
                <w:u w:val="none"/>
              </w:rPr>
              <w:t>8422.194</w:t>
            </w:r>
          </w:p>
        </w:tc>
        <w:tc>
          <w:tcPr>
            <w:tcW w:w="7470" w:type="dxa"/>
            <w:tcBorders>
              <w:bottom w:val="nil"/>
            </w:tcBorders>
          </w:tcPr>
          <w:p>
            <w:pPr>
              <w:pStyle w:val="TableParagraph"/>
              <w:rPr>
                <w:sz w:val="22"/>
                <w:u w:val="none"/>
              </w:rPr>
            </w:pPr>
            <w:r>
              <w:rPr>
                <w:b/>
                <w:sz w:val="22"/>
                <w:u w:val="thick"/>
              </w:rPr>
              <w:t>Backup Withholding Notices (B-Notices), </w:t>
            </w:r>
            <w:r>
              <w:rPr>
                <w:sz w:val="22"/>
                <w:u w:val="none"/>
              </w:rPr>
              <w:t>changed Section title and updated B-</w:t>
            </w:r>
          </w:p>
        </w:tc>
      </w:tr>
      <w:tr>
        <w:trPr>
          <w:trHeight w:val="510" w:hRule="exact"/>
        </w:trPr>
        <w:tc>
          <w:tcPr>
            <w:tcW w:w="1998" w:type="dxa"/>
            <w:vMerge/>
          </w:tcPr>
          <w:p>
            <w:pPr/>
          </w:p>
        </w:tc>
        <w:tc>
          <w:tcPr>
            <w:tcW w:w="7470" w:type="dxa"/>
            <w:tcBorders>
              <w:top w:val="nil"/>
            </w:tcBorders>
          </w:tcPr>
          <w:p>
            <w:pPr>
              <w:pStyle w:val="TableParagraph"/>
              <w:spacing w:line="249" w:lineRule="exact" w:before="0"/>
              <w:rPr>
                <w:sz w:val="22"/>
                <w:u w:val="none"/>
              </w:rPr>
            </w:pPr>
            <w:r>
              <w:rPr>
                <w:sz w:val="22"/>
                <w:u w:val="none"/>
              </w:rPr>
              <w:t>Notice information, complete rewrite</w:t>
            </w:r>
          </w:p>
        </w:tc>
      </w:tr>
    </w:tbl>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tabs>
          <w:tab w:pos="3930" w:val="left" w:leader="none"/>
        </w:tabs>
        <w:spacing w:before="155"/>
        <w:ind w:left="220" w:right="0" w:firstLine="0"/>
        <w:jc w:val="left"/>
        <w:rPr>
          <w:b/>
          <w:sz w:val="22"/>
        </w:rPr>
      </w:pPr>
      <w:r>
        <w:rPr>
          <w:b/>
          <w:sz w:val="22"/>
        </w:rPr>
        <w:t>ITEM</w:t>
        <w:tab/>
        <w:t>SUMMARY</w:t>
      </w:r>
    </w:p>
    <w:p>
      <w:pPr>
        <w:spacing w:after="0"/>
        <w:jc w:val="left"/>
        <w:rPr>
          <w:sz w:val="22"/>
        </w:rPr>
        <w:sectPr>
          <w:footerReference w:type="default" r:id="rId5"/>
          <w:type w:val="continuous"/>
          <w:pgSz w:w="12240" w:h="15840"/>
          <w:pgMar w:footer="742" w:top="640" w:bottom="940" w:left="1220" w:right="132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1032" w:hRule="exact"/>
        </w:trPr>
        <w:tc>
          <w:tcPr>
            <w:tcW w:w="1998" w:type="dxa"/>
          </w:tcPr>
          <w:p>
            <w:pPr>
              <w:pStyle w:val="TableParagraph"/>
              <w:spacing w:before="2"/>
              <w:rPr>
                <w:b/>
                <w:sz w:val="22"/>
                <w:u w:val="none"/>
              </w:rPr>
            </w:pPr>
            <w:r>
              <w:rPr>
                <w:b/>
                <w:sz w:val="22"/>
                <w:u w:val="none"/>
              </w:rPr>
              <w:t>8422.195</w:t>
            </w:r>
          </w:p>
        </w:tc>
        <w:tc>
          <w:tcPr>
            <w:tcW w:w="7470" w:type="dxa"/>
          </w:tcPr>
          <w:p>
            <w:pPr>
              <w:pStyle w:val="TableParagraph"/>
              <w:spacing w:before="2"/>
              <w:ind w:right="207" w:hanging="1"/>
              <w:rPr>
                <w:sz w:val="22"/>
                <w:u w:val="none"/>
              </w:rPr>
            </w:pPr>
            <w:r>
              <w:rPr>
                <w:b/>
                <w:sz w:val="22"/>
                <w:u w:val="thick"/>
              </w:rPr>
              <w:t>Reportable Payment Income Tax Withholding, </w:t>
            </w:r>
            <w:r>
              <w:rPr>
                <w:sz w:val="22"/>
                <w:u w:val="none"/>
              </w:rPr>
              <w:t>changed federal backup withholding percentage; moved remittance &amp; reporting of federal withholding to section 8422.196; updated state income tax withholding requirement information</w:t>
            </w:r>
          </w:p>
        </w:tc>
      </w:tr>
      <w:tr>
        <w:trPr>
          <w:trHeight w:val="778" w:hRule="exact"/>
        </w:trPr>
        <w:tc>
          <w:tcPr>
            <w:tcW w:w="1998" w:type="dxa"/>
          </w:tcPr>
          <w:p>
            <w:pPr>
              <w:pStyle w:val="TableParagraph"/>
              <w:spacing w:before="2"/>
              <w:rPr>
                <w:b/>
                <w:sz w:val="22"/>
                <w:u w:val="none"/>
              </w:rPr>
            </w:pPr>
            <w:r>
              <w:rPr>
                <w:b/>
                <w:sz w:val="22"/>
                <w:u w:val="none"/>
              </w:rPr>
              <w:t>8422.196</w:t>
            </w:r>
          </w:p>
        </w:tc>
        <w:tc>
          <w:tcPr>
            <w:tcW w:w="7470" w:type="dxa"/>
          </w:tcPr>
          <w:p>
            <w:pPr>
              <w:pStyle w:val="TableParagraph"/>
              <w:spacing w:before="2"/>
              <w:ind w:right="146"/>
              <w:rPr>
                <w:sz w:val="22"/>
                <w:u w:val="none"/>
              </w:rPr>
            </w:pPr>
            <w:r>
              <w:rPr>
                <w:b/>
                <w:sz w:val="22"/>
                <w:u w:val="thick"/>
              </w:rPr>
              <w:t>Remitting and Reporting Income Tax Withheld, </w:t>
            </w:r>
            <w:r>
              <w:rPr>
                <w:sz w:val="22"/>
                <w:u w:val="none"/>
              </w:rPr>
              <w:t>updated and added remitting and reporting of federal withholding; updated remitting and reporting nonresident income tax withheld information</w:t>
            </w:r>
          </w:p>
        </w:tc>
      </w:tr>
      <w:tr>
        <w:trPr>
          <w:trHeight w:val="778" w:hRule="exact"/>
        </w:trPr>
        <w:tc>
          <w:tcPr>
            <w:tcW w:w="1998" w:type="dxa"/>
          </w:tcPr>
          <w:p>
            <w:pPr>
              <w:pStyle w:val="TableParagraph"/>
              <w:spacing w:before="2"/>
              <w:rPr>
                <w:b/>
                <w:sz w:val="22"/>
                <w:u w:val="none"/>
              </w:rPr>
            </w:pPr>
            <w:r>
              <w:rPr>
                <w:b/>
                <w:sz w:val="22"/>
                <w:u w:val="none"/>
              </w:rPr>
              <w:t>8740</w:t>
            </w:r>
          </w:p>
        </w:tc>
        <w:tc>
          <w:tcPr>
            <w:tcW w:w="7470" w:type="dxa"/>
          </w:tcPr>
          <w:p>
            <w:pPr>
              <w:pStyle w:val="TableParagraph"/>
              <w:spacing w:before="2"/>
              <w:ind w:right="353" w:hanging="1"/>
              <w:rPr>
                <w:sz w:val="22"/>
                <w:u w:val="none"/>
              </w:rPr>
            </w:pPr>
            <w:r>
              <w:rPr>
                <w:b/>
                <w:sz w:val="22"/>
                <w:u w:val="thick"/>
              </w:rPr>
              <w:t>Billing for Services of Employees Paid on Monthly Basis, </w:t>
            </w:r>
            <w:r>
              <w:rPr>
                <w:sz w:val="22"/>
                <w:u w:val="none"/>
              </w:rPr>
              <w:t>incorporated 2009 billing rates</w:t>
            </w:r>
          </w:p>
        </w:tc>
      </w:tr>
    </w:tbl>
    <w:p>
      <w:pPr>
        <w:pStyle w:val="BodyText"/>
        <w:rPr>
          <w:b/>
          <w:sz w:val="20"/>
        </w:rPr>
      </w:pPr>
    </w:p>
    <w:p>
      <w:pPr>
        <w:pStyle w:val="BodyText"/>
        <w:rPr>
          <w:b/>
          <w:sz w:val="20"/>
        </w:rPr>
      </w:pPr>
    </w:p>
    <w:p>
      <w:pPr>
        <w:pStyle w:val="BodyText"/>
        <w:spacing w:before="7"/>
        <w:rPr>
          <w:b/>
          <w:sz w:val="19"/>
        </w:rPr>
      </w:pPr>
    </w:p>
    <w:p>
      <w:pPr>
        <w:spacing w:before="91"/>
        <w:ind w:left="2892" w:right="0" w:firstLine="0"/>
        <w:jc w:val="left"/>
        <w:rPr>
          <w:b/>
          <w:sz w:val="22"/>
        </w:rPr>
      </w:pPr>
      <w:r>
        <w:rPr>
          <w:b/>
          <w:sz w:val="22"/>
        </w:rPr>
        <w:t>REVISION SEQUENCE INSTRUCTIONS</w:t>
      </w:r>
    </w:p>
    <w:p>
      <w:pPr>
        <w:pStyle w:val="BodyText"/>
        <w:spacing w:before="180"/>
        <w:ind w:left="220" w:right="125"/>
      </w:pPr>
      <w:r>
        <w:rPr/>
        <w:t>The SAM is undergoing a format transition. Therefore, page numbers are either at the center bottom or upper right corner of the page.</w:t>
      </w:r>
    </w:p>
    <w:p>
      <w:pPr>
        <w:pStyle w:val="BodyText"/>
        <w:spacing w:before="2" w:after="1"/>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rPr>
                <w:b/>
                <w:sz w:val="22"/>
                <w:u w:val="none"/>
              </w:rPr>
            </w:pPr>
            <w:r>
              <w:rPr>
                <w:b/>
                <w:sz w:val="22"/>
                <w:u w:val="none"/>
              </w:rPr>
              <w:t>Remove Page (s)</w:t>
            </w:r>
          </w:p>
        </w:tc>
        <w:tc>
          <w:tcPr>
            <w:tcW w:w="1710" w:type="dxa"/>
          </w:tcPr>
          <w:p>
            <w:pPr>
              <w:pStyle w:val="TableParagraph"/>
              <w:spacing w:line="244" w:lineRule="auto"/>
              <w:ind w:left="319" w:right="261"/>
              <w:jc w:val="center"/>
              <w:rPr>
                <w:b/>
                <w:sz w:val="22"/>
                <w:u w:val="none"/>
              </w:rPr>
            </w:pPr>
            <w:r>
              <w:rPr>
                <w:b/>
                <w:w w:val="95"/>
                <w:sz w:val="22"/>
                <w:u w:val="none"/>
              </w:rPr>
              <w:t>Consecutive </w:t>
            </w:r>
            <w:r>
              <w:rPr>
                <w:b/>
                <w:sz w:val="22"/>
                <w:u w:val="none"/>
              </w:rPr>
              <w:t>Number of Sheets</w:t>
            </w:r>
          </w:p>
        </w:tc>
        <w:tc>
          <w:tcPr>
            <w:tcW w:w="2610" w:type="dxa"/>
          </w:tcPr>
          <w:p>
            <w:pPr>
              <w:pStyle w:val="TableParagraph"/>
              <w:ind w:left="631" w:right="573"/>
              <w:jc w:val="center"/>
              <w:rPr>
                <w:b/>
                <w:sz w:val="22"/>
                <w:u w:val="none"/>
              </w:rPr>
            </w:pPr>
            <w:r>
              <w:rPr>
                <w:b/>
                <w:sz w:val="22"/>
                <w:u w:val="none"/>
              </w:rPr>
              <w:t>Insert Page (s)</w:t>
            </w:r>
          </w:p>
        </w:tc>
        <w:tc>
          <w:tcPr>
            <w:tcW w:w="1800" w:type="dxa"/>
          </w:tcPr>
          <w:p>
            <w:pPr>
              <w:pStyle w:val="TableParagraph"/>
              <w:spacing w:line="244" w:lineRule="auto"/>
              <w:ind w:left="365" w:right="305"/>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4800 Index</w:t>
            </w:r>
          </w:p>
        </w:tc>
        <w:tc>
          <w:tcPr>
            <w:tcW w:w="1710" w:type="dxa"/>
          </w:tcPr>
          <w:p>
            <w:pPr>
              <w:pStyle w:val="TableParagraph"/>
              <w:ind w:left="57"/>
              <w:jc w:val="center"/>
              <w:rPr>
                <w:b/>
                <w:sz w:val="22"/>
                <w:u w:val="none"/>
              </w:rPr>
            </w:pPr>
            <w:r>
              <w:rPr>
                <w:b/>
                <w:w w:val="99"/>
                <w:sz w:val="22"/>
                <w:u w:val="none"/>
              </w:rPr>
              <w:t>1</w:t>
            </w:r>
          </w:p>
        </w:tc>
        <w:tc>
          <w:tcPr>
            <w:tcW w:w="2610" w:type="dxa"/>
          </w:tcPr>
          <w:p>
            <w:pPr>
              <w:pStyle w:val="TableParagraph"/>
              <w:ind w:left="631" w:right="573"/>
              <w:jc w:val="center"/>
              <w:rPr>
                <w:b/>
                <w:sz w:val="22"/>
                <w:u w:val="none"/>
              </w:rPr>
            </w:pPr>
            <w:r>
              <w:rPr>
                <w:b/>
                <w:sz w:val="22"/>
                <w:u w:val="none"/>
              </w:rPr>
              <w:t>Same</w:t>
            </w:r>
          </w:p>
        </w:tc>
        <w:tc>
          <w:tcPr>
            <w:tcW w:w="1800" w:type="dxa"/>
          </w:tcPr>
          <w:p>
            <w:pPr>
              <w:pStyle w:val="TableParagraph"/>
              <w:spacing w:line="240" w:lineRule="exact" w:before="0"/>
              <w:ind w:left="0" w:right="809"/>
              <w:jc w:val="right"/>
              <w:rPr>
                <w:b/>
                <w:sz w:val="22"/>
                <w:u w:val="none"/>
              </w:rPr>
            </w:pPr>
            <w:r>
              <w:rPr>
                <w:b/>
                <w:w w:val="99"/>
                <w:sz w:val="22"/>
                <w:u w:val="none"/>
              </w:rPr>
              <w:t>1</w:t>
            </w:r>
          </w:p>
        </w:tc>
      </w:tr>
      <w:tr>
        <w:trPr>
          <w:trHeight w:val="784" w:hRule="exact"/>
        </w:trPr>
        <w:tc>
          <w:tcPr>
            <w:tcW w:w="3528" w:type="dxa"/>
          </w:tcPr>
          <w:p>
            <w:pPr>
              <w:pStyle w:val="TableParagraph"/>
              <w:rPr>
                <w:b/>
                <w:sz w:val="22"/>
                <w:u w:val="none"/>
              </w:rPr>
            </w:pPr>
            <w:r>
              <w:rPr>
                <w:b/>
                <w:sz w:val="22"/>
                <w:u w:val="none"/>
              </w:rPr>
              <w:t>4819.2 (Cont. 4) through 4819.36</w:t>
            </w:r>
          </w:p>
          <w:p>
            <w:pPr>
              <w:pStyle w:val="TableParagraph"/>
              <w:rPr>
                <w:b/>
                <w:sz w:val="22"/>
                <w:u w:val="none"/>
              </w:rPr>
            </w:pPr>
            <w:r>
              <w:rPr>
                <w:b/>
                <w:sz w:val="22"/>
                <w:u w:val="none"/>
              </w:rPr>
              <w:t>(Cont. 3)</w:t>
            </w:r>
          </w:p>
        </w:tc>
        <w:tc>
          <w:tcPr>
            <w:tcW w:w="1710" w:type="dxa"/>
          </w:tcPr>
          <w:p>
            <w:pPr>
              <w:pStyle w:val="TableParagraph"/>
              <w:ind w:left="55"/>
              <w:jc w:val="center"/>
              <w:rPr>
                <w:b/>
                <w:sz w:val="22"/>
                <w:u w:val="none"/>
              </w:rPr>
            </w:pPr>
            <w:r>
              <w:rPr>
                <w:b/>
                <w:w w:val="99"/>
                <w:sz w:val="22"/>
                <w:u w:val="none"/>
              </w:rPr>
              <w:t>5</w:t>
            </w:r>
          </w:p>
        </w:tc>
        <w:tc>
          <w:tcPr>
            <w:tcW w:w="2610" w:type="dxa"/>
          </w:tcPr>
          <w:p>
            <w:pPr>
              <w:pStyle w:val="TableParagraph"/>
              <w:spacing w:line="244" w:lineRule="auto"/>
              <w:ind w:left="611" w:right="304" w:hanging="230"/>
              <w:rPr>
                <w:b/>
                <w:sz w:val="22"/>
                <w:u w:val="none"/>
              </w:rPr>
            </w:pPr>
            <w:r>
              <w:rPr>
                <w:b/>
                <w:sz w:val="22"/>
                <w:u w:val="none"/>
              </w:rPr>
              <w:t>Same page numbers Different count</w:t>
            </w:r>
          </w:p>
        </w:tc>
        <w:tc>
          <w:tcPr>
            <w:tcW w:w="1800" w:type="dxa"/>
          </w:tcPr>
          <w:p>
            <w:pPr>
              <w:pStyle w:val="TableParagraph"/>
              <w:spacing w:line="240" w:lineRule="exact" w:before="0"/>
              <w:ind w:left="0" w:right="809"/>
              <w:jc w:val="right"/>
              <w:rPr>
                <w:b/>
                <w:sz w:val="22"/>
                <w:u w:val="none"/>
              </w:rPr>
            </w:pPr>
            <w:r>
              <w:rPr>
                <w:b/>
                <w:w w:val="99"/>
                <w:sz w:val="22"/>
                <w:u w:val="none"/>
              </w:rPr>
              <w:t>4</w:t>
            </w:r>
          </w:p>
        </w:tc>
      </w:tr>
      <w:tr>
        <w:trPr>
          <w:trHeight w:val="526" w:hRule="exact"/>
        </w:trPr>
        <w:tc>
          <w:tcPr>
            <w:tcW w:w="3528" w:type="dxa"/>
          </w:tcPr>
          <w:p>
            <w:pPr>
              <w:pStyle w:val="TableParagraph"/>
              <w:rPr>
                <w:b/>
                <w:sz w:val="22"/>
                <w:u w:val="none"/>
              </w:rPr>
            </w:pPr>
            <w:r>
              <w:rPr>
                <w:b/>
                <w:sz w:val="22"/>
                <w:u w:val="none"/>
              </w:rPr>
              <w:t>4982.2 (Cont. 1) through 5001</w:t>
            </w:r>
          </w:p>
        </w:tc>
        <w:tc>
          <w:tcPr>
            <w:tcW w:w="1710" w:type="dxa"/>
          </w:tcPr>
          <w:p>
            <w:pPr>
              <w:pStyle w:val="TableParagraph"/>
              <w:ind w:left="55"/>
              <w:jc w:val="center"/>
              <w:rPr>
                <w:b/>
                <w:sz w:val="22"/>
                <w:u w:val="none"/>
              </w:rPr>
            </w:pPr>
            <w:r>
              <w:rPr>
                <w:b/>
                <w:w w:val="99"/>
                <w:sz w:val="22"/>
                <w:u w:val="none"/>
              </w:rPr>
              <w:t>4</w:t>
            </w:r>
          </w:p>
        </w:tc>
        <w:tc>
          <w:tcPr>
            <w:tcW w:w="2610" w:type="dxa"/>
          </w:tcPr>
          <w:p>
            <w:pPr>
              <w:pStyle w:val="TableParagraph"/>
              <w:ind w:left="630" w:right="573"/>
              <w:jc w:val="center"/>
              <w:rPr>
                <w:b/>
                <w:sz w:val="22"/>
                <w:u w:val="none"/>
              </w:rPr>
            </w:pPr>
            <w:r>
              <w:rPr>
                <w:b/>
                <w:sz w:val="22"/>
                <w:u w:val="none"/>
              </w:rPr>
              <w:t>Same</w:t>
            </w:r>
          </w:p>
        </w:tc>
        <w:tc>
          <w:tcPr>
            <w:tcW w:w="1800" w:type="dxa"/>
          </w:tcPr>
          <w:p>
            <w:pPr>
              <w:pStyle w:val="TableParagraph"/>
              <w:spacing w:line="240" w:lineRule="exact" w:before="0"/>
              <w:ind w:left="0" w:right="809"/>
              <w:jc w:val="right"/>
              <w:rPr>
                <w:b/>
                <w:sz w:val="22"/>
                <w:u w:val="none"/>
              </w:rPr>
            </w:pPr>
            <w:r>
              <w:rPr>
                <w:b/>
                <w:w w:val="99"/>
                <w:sz w:val="22"/>
                <w:u w:val="none"/>
              </w:rPr>
              <w:t>4</w:t>
            </w:r>
          </w:p>
        </w:tc>
      </w:tr>
      <w:tr>
        <w:trPr>
          <w:trHeight w:val="526" w:hRule="exact"/>
        </w:trPr>
        <w:tc>
          <w:tcPr>
            <w:tcW w:w="3528" w:type="dxa"/>
          </w:tcPr>
          <w:p>
            <w:pPr>
              <w:pStyle w:val="TableParagraph"/>
              <w:rPr>
                <w:b/>
                <w:sz w:val="22"/>
                <w:u w:val="none"/>
              </w:rPr>
            </w:pPr>
            <w:r>
              <w:rPr>
                <w:b/>
                <w:sz w:val="22"/>
                <w:u w:val="none"/>
              </w:rPr>
              <w:t>5300 Index through 5300.2</w:t>
            </w:r>
          </w:p>
        </w:tc>
        <w:tc>
          <w:tcPr>
            <w:tcW w:w="1710" w:type="dxa"/>
          </w:tcPr>
          <w:p>
            <w:pPr>
              <w:pStyle w:val="TableParagraph"/>
              <w:ind w:left="55"/>
              <w:jc w:val="center"/>
              <w:rPr>
                <w:b/>
                <w:sz w:val="22"/>
                <w:u w:val="none"/>
              </w:rPr>
            </w:pPr>
            <w:r>
              <w:rPr>
                <w:b/>
                <w:w w:val="99"/>
                <w:sz w:val="22"/>
                <w:u w:val="none"/>
              </w:rPr>
              <w:t>2</w:t>
            </w:r>
          </w:p>
        </w:tc>
        <w:tc>
          <w:tcPr>
            <w:tcW w:w="2610" w:type="dxa"/>
          </w:tcPr>
          <w:p>
            <w:pPr>
              <w:pStyle w:val="TableParagraph"/>
              <w:ind w:left="630" w:right="573"/>
              <w:jc w:val="center"/>
              <w:rPr>
                <w:b/>
                <w:sz w:val="22"/>
                <w:u w:val="none"/>
              </w:rPr>
            </w:pPr>
            <w:r>
              <w:rPr>
                <w:b/>
                <w:sz w:val="22"/>
                <w:u w:val="none"/>
              </w:rPr>
              <w:t>Same</w:t>
            </w:r>
          </w:p>
        </w:tc>
        <w:tc>
          <w:tcPr>
            <w:tcW w:w="1800" w:type="dxa"/>
          </w:tcPr>
          <w:p>
            <w:pPr>
              <w:pStyle w:val="TableParagraph"/>
              <w:spacing w:line="240" w:lineRule="exact" w:before="0"/>
              <w:ind w:left="0" w:right="809"/>
              <w:jc w:val="right"/>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5315.1 through 5360</w:t>
            </w:r>
          </w:p>
        </w:tc>
        <w:tc>
          <w:tcPr>
            <w:tcW w:w="1710" w:type="dxa"/>
          </w:tcPr>
          <w:p>
            <w:pPr>
              <w:pStyle w:val="TableParagraph"/>
              <w:ind w:left="55"/>
              <w:jc w:val="center"/>
              <w:rPr>
                <w:b/>
                <w:sz w:val="22"/>
                <w:u w:val="none"/>
              </w:rPr>
            </w:pPr>
            <w:r>
              <w:rPr>
                <w:b/>
                <w:w w:val="99"/>
                <w:sz w:val="22"/>
                <w:u w:val="none"/>
              </w:rPr>
              <w:t>7</w:t>
            </w:r>
          </w:p>
        </w:tc>
        <w:tc>
          <w:tcPr>
            <w:tcW w:w="2610" w:type="dxa"/>
          </w:tcPr>
          <w:p>
            <w:pPr>
              <w:pStyle w:val="TableParagraph"/>
              <w:ind w:left="630" w:right="573"/>
              <w:jc w:val="center"/>
              <w:rPr>
                <w:b/>
                <w:sz w:val="22"/>
                <w:u w:val="none"/>
              </w:rPr>
            </w:pPr>
            <w:r>
              <w:rPr>
                <w:b/>
                <w:sz w:val="22"/>
                <w:u w:val="none"/>
              </w:rPr>
              <w:t>Same</w:t>
            </w:r>
          </w:p>
        </w:tc>
        <w:tc>
          <w:tcPr>
            <w:tcW w:w="1800" w:type="dxa"/>
          </w:tcPr>
          <w:p>
            <w:pPr>
              <w:pStyle w:val="TableParagraph"/>
              <w:spacing w:line="240" w:lineRule="exact" w:before="0"/>
              <w:ind w:left="0" w:right="809"/>
              <w:jc w:val="right"/>
              <w:rPr>
                <w:b/>
                <w:sz w:val="22"/>
                <w:u w:val="none"/>
              </w:rPr>
            </w:pPr>
            <w:r>
              <w:rPr>
                <w:b/>
                <w:w w:val="99"/>
                <w:sz w:val="22"/>
                <w:u w:val="none"/>
              </w:rPr>
              <w:t>7</w:t>
            </w:r>
          </w:p>
        </w:tc>
      </w:tr>
      <w:tr>
        <w:trPr>
          <w:trHeight w:val="526" w:hRule="exact"/>
        </w:trPr>
        <w:tc>
          <w:tcPr>
            <w:tcW w:w="3528" w:type="dxa"/>
          </w:tcPr>
          <w:p>
            <w:pPr>
              <w:pStyle w:val="TableParagraph"/>
              <w:rPr>
                <w:b/>
                <w:sz w:val="22"/>
                <w:u w:val="none"/>
              </w:rPr>
            </w:pPr>
            <w:r>
              <w:rPr>
                <w:b/>
                <w:sz w:val="22"/>
                <w:u w:val="none"/>
              </w:rPr>
              <w:t>8400 Index</w:t>
            </w:r>
          </w:p>
        </w:tc>
        <w:tc>
          <w:tcPr>
            <w:tcW w:w="1710" w:type="dxa"/>
          </w:tcPr>
          <w:p>
            <w:pPr>
              <w:pStyle w:val="TableParagraph"/>
              <w:ind w:left="55"/>
              <w:jc w:val="center"/>
              <w:rPr>
                <w:b/>
                <w:sz w:val="22"/>
                <w:u w:val="none"/>
              </w:rPr>
            </w:pPr>
            <w:r>
              <w:rPr>
                <w:b/>
                <w:w w:val="99"/>
                <w:sz w:val="22"/>
                <w:u w:val="none"/>
              </w:rPr>
              <w:t>1</w:t>
            </w:r>
          </w:p>
        </w:tc>
        <w:tc>
          <w:tcPr>
            <w:tcW w:w="2610" w:type="dxa"/>
          </w:tcPr>
          <w:p>
            <w:pPr>
              <w:pStyle w:val="TableParagraph"/>
              <w:ind w:left="630" w:right="573"/>
              <w:jc w:val="center"/>
              <w:rPr>
                <w:b/>
                <w:sz w:val="22"/>
                <w:u w:val="none"/>
              </w:rPr>
            </w:pPr>
            <w:r>
              <w:rPr>
                <w:b/>
                <w:sz w:val="22"/>
                <w:u w:val="none"/>
              </w:rPr>
              <w:t>Same</w:t>
            </w:r>
          </w:p>
        </w:tc>
        <w:tc>
          <w:tcPr>
            <w:tcW w:w="1800" w:type="dxa"/>
          </w:tcPr>
          <w:p>
            <w:pPr>
              <w:pStyle w:val="TableParagraph"/>
              <w:ind w:left="0" w:right="809"/>
              <w:jc w:val="right"/>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8422.115 through 8422.196</w:t>
            </w:r>
          </w:p>
        </w:tc>
        <w:tc>
          <w:tcPr>
            <w:tcW w:w="1710" w:type="dxa"/>
          </w:tcPr>
          <w:p>
            <w:pPr>
              <w:pStyle w:val="TableParagraph"/>
              <w:ind w:left="55"/>
              <w:jc w:val="center"/>
              <w:rPr>
                <w:b/>
                <w:sz w:val="22"/>
                <w:u w:val="none"/>
              </w:rPr>
            </w:pPr>
            <w:r>
              <w:rPr>
                <w:b/>
                <w:w w:val="99"/>
                <w:sz w:val="22"/>
                <w:u w:val="none"/>
              </w:rPr>
              <w:t>6</w:t>
            </w:r>
          </w:p>
        </w:tc>
        <w:tc>
          <w:tcPr>
            <w:tcW w:w="2610" w:type="dxa"/>
          </w:tcPr>
          <w:p>
            <w:pPr>
              <w:pStyle w:val="TableParagraph"/>
              <w:ind w:left="630" w:right="573"/>
              <w:jc w:val="center"/>
              <w:rPr>
                <w:b/>
                <w:sz w:val="22"/>
                <w:u w:val="none"/>
              </w:rPr>
            </w:pPr>
            <w:r>
              <w:rPr>
                <w:b/>
                <w:sz w:val="22"/>
                <w:u w:val="none"/>
              </w:rPr>
              <w:t>Same</w:t>
            </w:r>
          </w:p>
        </w:tc>
        <w:tc>
          <w:tcPr>
            <w:tcW w:w="1800" w:type="dxa"/>
          </w:tcPr>
          <w:p>
            <w:pPr>
              <w:pStyle w:val="TableParagraph"/>
              <w:spacing w:line="240" w:lineRule="exact" w:before="0"/>
              <w:ind w:left="0" w:right="809"/>
              <w:jc w:val="right"/>
              <w:rPr>
                <w:b/>
                <w:sz w:val="22"/>
                <w:u w:val="none"/>
              </w:rPr>
            </w:pPr>
            <w:r>
              <w:rPr>
                <w:b/>
                <w:w w:val="99"/>
                <w:sz w:val="22"/>
                <w:u w:val="none"/>
              </w:rPr>
              <w:t>6</w:t>
            </w:r>
          </w:p>
        </w:tc>
      </w:tr>
      <w:tr>
        <w:trPr>
          <w:trHeight w:val="526" w:hRule="exact"/>
        </w:trPr>
        <w:tc>
          <w:tcPr>
            <w:tcW w:w="3528" w:type="dxa"/>
          </w:tcPr>
          <w:p>
            <w:pPr>
              <w:pStyle w:val="TableParagraph"/>
              <w:rPr>
                <w:b/>
                <w:sz w:val="22"/>
                <w:u w:val="none"/>
              </w:rPr>
            </w:pPr>
            <w:r>
              <w:rPr>
                <w:b/>
                <w:sz w:val="22"/>
                <w:u w:val="none"/>
              </w:rPr>
              <w:t>8740</w:t>
            </w:r>
          </w:p>
        </w:tc>
        <w:tc>
          <w:tcPr>
            <w:tcW w:w="1710" w:type="dxa"/>
          </w:tcPr>
          <w:p>
            <w:pPr>
              <w:pStyle w:val="TableParagraph"/>
              <w:ind w:left="55"/>
              <w:jc w:val="center"/>
              <w:rPr>
                <w:b/>
                <w:sz w:val="22"/>
                <w:u w:val="none"/>
              </w:rPr>
            </w:pPr>
            <w:r>
              <w:rPr>
                <w:b/>
                <w:w w:val="99"/>
                <w:sz w:val="22"/>
                <w:u w:val="none"/>
              </w:rPr>
              <w:t>1</w:t>
            </w:r>
          </w:p>
        </w:tc>
        <w:tc>
          <w:tcPr>
            <w:tcW w:w="2610" w:type="dxa"/>
          </w:tcPr>
          <w:p>
            <w:pPr>
              <w:pStyle w:val="TableParagraph"/>
              <w:ind w:left="630" w:right="573"/>
              <w:jc w:val="center"/>
              <w:rPr>
                <w:b/>
                <w:sz w:val="22"/>
                <w:u w:val="none"/>
              </w:rPr>
            </w:pPr>
            <w:r>
              <w:rPr>
                <w:b/>
                <w:sz w:val="22"/>
                <w:u w:val="none"/>
              </w:rPr>
              <w:t>Same</w:t>
            </w:r>
          </w:p>
        </w:tc>
        <w:tc>
          <w:tcPr>
            <w:tcW w:w="1800" w:type="dxa"/>
          </w:tcPr>
          <w:p>
            <w:pPr>
              <w:pStyle w:val="TableParagraph"/>
              <w:spacing w:line="240" w:lineRule="exact" w:before="0"/>
              <w:ind w:left="0" w:right="809"/>
              <w:jc w:val="right"/>
              <w:rPr>
                <w:b/>
                <w:sz w:val="22"/>
                <w:u w:val="none"/>
              </w:rPr>
            </w:pPr>
            <w:r>
              <w:rPr>
                <w:b/>
                <w:w w:val="99"/>
                <w:sz w:val="22"/>
                <w:u w:val="none"/>
              </w:rPr>
              <w:t>1</w:t>
            </w:r>
          </w:p>
        </w:tc>
      </w:tr>
    </w:tbl>
    <w:sectPr>
      <w:pgSz w:w="12240" w:h="15840"/>
      <w:pgMar w:header="0" w:footer="742" w:top="98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8632" type="#_x0000_t202" filled="false" stroked="false">
          <v:textbox inset="0,0,0,0">
            <w:txbxContent>
              <w:p>
                <w:pPr>
                  <w:spacing w:before="12"/>
                  <w:ind w:left="20" w:right="0" w:firstLine="0"/>
                  <w:jc w:val="left"/>
                  <w:rPr>
                    <w:b/>
                    <w:sz w:val="20"/>
                  </w:rPr>
                </w:pPr>
                <w:r>
                  <w:rPr>
                    <w:b/>
                    <w:sz w:val="20"/>
                  </w:rPr>
                  <w:t>Rev. 404</w:t>
                </w:r>
              </w:p>
            </w:txbxContent>
          </v:textbox>
          <w10:wrap type="none"/>
        </v:shape>
      </w:pict>
    </w:r>
    <w:r>
      <w:rPr/>
      <w:pict>
        <v:shape style="position:absolute;margin-left:458.433319pt;margin-top:743.911072pt;width:82.55pt;height:13.1pt;mso-position-horizontal-relative:page;mso-position-vertical-relative:page;z-index:-8608" type="#_x0000_t202" filled="false" stroked="false">
          <v:textbox inset="0,0,0,0">
            <w:txbxContent>
              <w:p>
                <w:pPr>
                  <w:spacing w:before="12"/>
                  <w:ind w:left="20" w:right="0" w:firstLine="0"/>
                  <w:jc w:val="left"/>
                  <w:rPr>
                    <w:b/>
                    <w:sz w:val="20"/>
                  </w:rPr>
                </w:pPr>
                <w:r>
                  <w:rPr>
                    <w:b/>
                    <w:sz w:val="20"/>
                  </w:rPr>
                  <w:t>DECEMBER 2008</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22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2020-07-14T10:20:01Z</dcterms:created>
  <dcterms:modified xsi:type="dcterms:W3CDTF">2020-07-14T10:20:01Z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2008-12-19T00:00:00Z</vt:filetime>
  </property>
  <property fmtid="{D5CDD505-2E9C-101B-9397-08002B2CF9AE}" pid="3" name="Creator">
    <vt:lpwstr>Acrobat PDFMaker 7.0 for Word</vt:lpwstr>
  </property>
  <property fmtid="{D5CDD505-2E9C-101B-9397-08002B2CF9AE}" pid="4" name="LastSaved">
    <vt:filetime>2020-07-14T00:00:00Z</vt:filetime>
  </property>
</Properties>
</file>