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22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9"/>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6" w:hRule="exact"/>
        </w:trPr>
        <w:tc>
          <w:tcPr>
            <w:tcW w:w="2000" w:type="dxa"/>
            <w:tcBorders>
              <w:top w:val="nil"/>
              <w:left w:val="nil"/>
              <w:right w:val="nil"/>
            </w:tcBorders>
          </w:tcPr>
          <w:p>
            <w:pPr>
              <w:pStyle w:val="TableParagraph"/>
              <w:spacing w:line="243"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3" w:lineRule="exact" w:before="0"/>
              <w:ind w:left="1820"/>
              <w:rPr>
                <w:b/>
                <w:sz w:val="22"/>
                <w:u w:val="none"/>
              </w:rPr>
            </w:pPr>
            <w:r>
              <w:rPr>
                <w:b/>
                <w:sz w:val="22"/>
                <w:u w:val="none"/>
              </w:rPr>
              <w:t>SUMMARY</w:t>
            </w:r>
          </w:p>
        </w:tc>
      </w:tr>
      <w:tr>
        <w:trPr>
          <w:trHeight w:val="757" w:hRule="exact"/>
        </w:trPr>
        <w:tc>
          <w:tcPr>
            <w:tcW w:w="2000" w:type="dxa"/>
          </w:tcPr>
          <w:p>
            <w:pPr>
              <w:pStyle w:val="TableParagraph"/>
              <w:rPr>
                <w:b/>
                <w:sz w:val="22"/>
                <w:u w:val="none"/>
              </w:rPr>
            </w:pPr>
            <w:r>
              <w:rPr>
                <w:b/>
                <w:sz w:val="22"/>
                <w:u w:val="none"/>
              </w:rPr>
              <w:t>Section 7340</w:t>
            </w:r>
          </w:p>
        </w:tc>
        <w:tc>
          <w:tcPr>
            <w:tcW w:w="7472" w:type="dxa"/>
          </w:tcPr>
          <w:p>
            <w:pPr>
              <w:pStyle w:val="TableParagraph"/>
              <w:rPr>
                <w:sz w:val="22"/>
                <w:u w:val="none"/>
              </w:rPr>
            </w:pPr>
            <w:r>
              <w:rPr>
                <w:b/>
                <w:sz w:val="22"/>
                <w:u w:val="thick"/>
              </w:rPr>
              <w:t>California Victim Compensation and Government Claims Board </w:t>
            </w:r>
            <w:r>
              <w:rPr>
                <w:sz w:val="22"/>
                <w:u w:val="none"/>
              </w:rPr>
              <w:t>Revised due to the increased threshold from $250 to $500.</w:t>
            </w:r>
          </w:p>
        </w:tc>
      </w:tr>
      <w:tr>
        <w:trPr>
          <w:trHeight w:val="778" w:hRule="exact"/>
        </w:trPr>
        <w:tc>
          <w:tcPr>
            <w:tcW w:w="2000" w:type="dxa"/>
          </w:tcPr>
          <w:p>
            <w:pPr>
              <w:pStyle w:val="TableParagraph"/>
              <w:rPr>
                <w:b/>
                <w:sz w:val="22"/>
                <w:u w:val="none"/>
              </w:rPr>
            </w:pPr>
            <w:r>
              <w:rPr>
                <w:b/>
                <w:sz w:val="22"/>
                <w:u w:val="none"/>
              </w:rPr>
              <w:t>Section 8241</w:t>
            </w:r>
          </w:p>
        </w:tc>
        <w:tc>
          <w:tcPr>
            <w:tcW w:w="7472" w:type="dxa"/>
          </w:tcPr>
          <w:p>
            <w:pPr>
              <w:pStyle w:val="TableParagraph"/>
              <w:ind w:right="545"/>
              <w:rPr>
                <w:sz w:val="22"/>
                <w:u w:val="none"/>
              </w:rPr>
            </w:pPr>
            <w:r>
              <w:rPr>
                <w:b/>
                <w:sz w:val="22"/>
                <w:u w:val="thick"/>
              </w:rPr>
              <w:t>Overpayments and Underpayments </w:t>
            </w:r>
            <w:r>
              <w:rPr>
                <w:sz w:val="22"/>
                <w:u w:val="none"/>
              </w:rPr>
              <w:t>Revised due to the increased threshold from $250 to $500.</w:t>
            </w:r>
          </w:p>
        </w:tc>
      </w:tr>
      <w:tr>
        <w:trPr>
          <w:trHeight w:val="757" w:hRule="exact"/>
        </w:trPr>
        <w:tc>
          <w:tcPr>
            <w:tcW w:w="2000" w:type="dxa"/>
          </w:tcPr>
          <w:p>
            <w:pPr>
              <w:pStyle w:val="TableParagraph"/>
              <w:rPr>
                <w:b/>
                <w:sz w:val="22"/>
                <w:u w:val="none"/>
              </w:rPr>
            </w:pPr>
            <w:r>
              <w:rPr>
                <w:b/>
                <w:sz w:val="22"/>
                <w:u w:val="none"/>
              </w:rPr>
              <w:t>Section 8474</w:t>
            </w:r>
          </w:p>
        </w:tc>
        <w:tc>
          <w:tcPr>
            <w:tcW w:w="7472" w:type="dxa"/>
          </w:tcPr>
          <w:p>
            <w:pPr>
              <w:pStyle w:val="TableParagraph"/>
              <w:ind w:right="241"/>
              <w:rPr>
                <w:sz w:val="22"/>
                <w:u w:val="none"/>
              </w:rPr>
            </w:pPr>
            <w:r>
              <w:rPr>
                <w:b/>
                <w:sz w:val="22"/>
                <w:u w:val="thick"/>
              </w:rPr>
              <w:t>Late Payment Penalty </w:t>
            </w:r>
            <w:r>
              <w:rPr>
                <w:sz w:val="22"/>
                <w:u w:val="none"/>
              </w:rPr>
              <w:t>Clarified penalty requirements for state agencies and the SCO; added registered warrant as type of payment.</w:t>
            </w:r>
          </w:p>
        </w:tc>
      </w:tr>
      <w:tr>
        <w:trPr>
          <w:trHeight w:val="526" w:hRule="exact"/>
        </w:trPr>
        <w:tc>
          <w:tcPr>
            <w:tcW w:w="2000" w:type="dxa"/>
          </w:tcPr>
          <w:p>
            <w:pPr>
              <w:pStyle w:val="TableParagraph"/>
              <w:rPr>
                <w:b/>
                <w:sz w:val="22"/>
                <w:u w:val="none"/>
              </w:rPr>
            </w:pPr>
            <w:r>
              <w:rPr>
                <w:b/>
                <w:sz w:val="22"/>
                <w:u w:val="none"/>
              </w:rPr>
              <w:t>Section 8474.2</w:t>
            </w:r>
          </w:p>
        </w:tc>
        <w:tc>
          <w:tcPr>
            <w:tcW w:w="7472" w:type="dxa"/>
          </w:tcPr>
          <w:p>
            <w:pPr>
              <w:pStyle w:val="TableParagraph"/>
              <w:rPr>
                <w:sz w:val="22"/>
                <w:u w:val="none"/>
              </w:rPr>
            </w:pPr>
            <w:r>
              <w:rPr>
                <w:b/>
                <w:sz w:val="22"/>
                <w:u w:val="thick"/>
              </w:rPr>
              <w:t>Penalty Requirements </w:t>
            </w:r>
            <w:r>
              <w:rPr>
                <w:sz w:val="22"/>
                <w:u w:val="none"/>
              </w:rPr>
              <w:t>Simplified penalty requirements.</w:t>
            </w:r>
          </w:p>
        </w:tc>
      </w:tr>
      <w:tr>
        <w:trPr>
          <w:trHeight w:val="526" w:hRule="exact"/>
        </w:trPr>
        <w:tc>
          <w:tcPr>
            <w:tcW w:w="2000" w:type="dxa"/>
          </w:tcPr>
          <w:p>
            <w:pPr>
              <w:pStyle w:val="TableParagraph"/>
              <w:rPr>
                <w:b/>
                <w:sz w:val="22"/>
                <w:u w:val="none"/>
              </w:rPr>
            </w:pPr>
            <w:r>
              <w:rPr>
                <w:b/>
                <w:sz w:val="22"/>
                <w:u w:val="none"/>
              </w:rPr>
              <w:t>Section 8474.4</w:t>
            </w:r>
          </w:p>
        </w:tc>
        <w:tc>
          <w:tcPr>
            <w:tcW w:w="7472" w:type="dxa"/>
          </w:tcPr>
          <w:p>
            <w:pPr>
              <w:pStyle w:val="TableParagraph"/>
              <w:rPr>
                <w:sz w:val="22"/>
                <w:u w:val="none"/>
              </w:rPr>
            </w:pPr>
            <w:r>
              <w:rPr>
                <w:b/>
                <w:sz w:val="22"/>
                <w:u w:val="thick"/>
              </w:rPr>
              <w:t>Definition of Terms </w:t>
            </w:r>
            <w:r>
              <w:rPr>
                <w:sz w:val="22"/>
                <w:u w:val="none"/>
              </w:rPr>
              <w:t>Added payment definition.</w:t>
            </w:r>
          </w:p>
        </w:tc>
      </w:tr>
      <w:tr>
        <w:trPr>
          <w:trHeight w:val="756" w:hRule="exact"/>
        </w:trPr>
        <w:tc>
          <w:tcPr>
            <w:tcW w:w="2000" w:type="dxa"/>
          </w:tcPr>
          <w:p>
            <w:pPr>
              <w:pStyle w:val="TableParagraph"/>
              <w:rPr>
                <w:b/>
                <w:sz w:val="22"/>
                <w:u w:val="none"/>
              </w:rPr>
            </w:pPr>
            <w:r>
              <w:rPr>
                <w:b/>
                <w:sz w:val="22"/>
                <w:u w:val="none"/>
              </w:rPr>
              <w:t>8700 Index</w:t>
            </w:r>
          </w:p>
        </w:tc>
        <w:tc>
          <w:tcPr>
            <w:tcW w:w="7472" w:type="dxa"/>
          </w:tcPr>
          <w:p>
            <w:pPr>
              <w:pStyle w:val="TableParagraph"/>
              <w:rPr>
                <w:sz w:val="22"/>
                <w:u w:val="none"/>
              </w:rPr>
            </w:pPr>
            <w:r>
              <w:rPr>
                <w:b/>
                <w:sz w:val="22"/>
                <w:u w:val="thick"/>
              </w:rPr>
              <w:t>8700 Index </w:t>
            </w:r>
            <w:r>
              <w:rPr>
                <w:sz w:val="22"/>
                <w:u w:val="none"/>
              </w:rPr>
              <w:t>Name change from </w:t>
            </w:r>
            <w:r>
              <w:rPr>
                <w:i/>
                <w:sz w:val="22"/>
                <w:u w:val="none"/>
              </w:rPr>
              <w:t>Federal Indirect Cost Rate Proposal (ICRP) </w:t>
            </w:r>
            <w:r>
              <w:rPr>
                <w:sz w:val="22"/>
                <w:u w:val="none"/>
              </w:rPr>
              <w:t>to</w:t>
            </w:r>
          </w:p>
          <w:p>
            <w:pPr>
              <w:pStyle w:val="TableParagraph"/>
              <w:spacing w:before="1"/>
              <w:rPr>
                <w:i/>
                <w:sz w:val="22"/>
                <w:u w:val="none"/>
              </w:rPr>
            </w:pPr>
            <w:r>
              <w:rPr>
                <w:i/>
                <w:sz w:val="22"/>
                <w:u w:val="none"/>
              </w:rPr>
              <w:t>Federal Indirect Cost Rate Proposal (ICRP) and/or Cost Allocation Plans.</w:t>
            </w:r>
          </w:p>
        </w:tc>
      </w:tr>
      <w:tr>
        <w:trPr>
          <w:trHeight w:val="757" w:hRule="exact"/>
        </w:trPr>
        <w:tc>
          <w:tcPr>
            <w:tcW w:w="2000" w:type="dxa"/>
          </w:tcPr>
          <w:p>
            <w:pPr>
              <w:pStyle w:val="TableParagraph"/>
              <w:rPr>
                <w:b/>
                <w:sz w:val="22"/>
                <w:u w:val="none"/>
              </w:rPr>
            </w:pPr>
            <w:r>
              <w:rPr>
                <w:b/>
                <w:sz w:val="22"/>
                <w:u w:val="none"/>
              </w:rPr>
              <w:t>Section 8740</w:t>
            </w:r>
          </w:p>
        </w:tc>
        <w:tc>
          <w:tcPr>
            <w:tcW w:w="7472" w:type="dxa"/>
          </w:tcPr>
          <w:p>
            <w:pPr>
              <w:pStyle w:val="TableParagraph"/>
              <w:ind w:right="1020"/>
              <w:rPr>
                <w:sz w:val="22"/>
                <w:u w:val="none"/>
              </w:rPr>
            </w:pPr>
            <w:r>
              <w:rPr>
                <w:b/>
                <w:sz w:val="22"/>
                <w:u w:val="thick"/>
              </w:rPr>
              <w:t>Billing For Services of Employees Paid on Monthly Basis </w:t>
            </w:r>
            <w:r>
              <w:rPr>
                <w:sz w:val="22"/>
                <w:u w:val="none"/>
              </w:rPr>
              <w:t>Revised to incorporate state employees billing rates for 2010.</w:t>
            </w:r>
          </w:p>
        </w:tc>
      </w:tr>
      <w:tr>
        <w:trPr>
          <w:trHeight w:val="1012" w:hRule="exact"/>
        </w:trPr>
        <w:tc>
          <w:tcPr>
            <w:tcW w:w="2000" w:type="dxa"/>
          </w:tcPr>
          <w:p>
            <w:pPr>
              <w:pStyle w:val="TableParagraph"/>
              <w:rPr>
                <w:b/>
                <w:sz w:val="22"/>
                <w:u w:val="none"/>
              </w:rPr>
            </w:pPr>
            <w:r>
              <w:rPr>
                <w:b/>
                <w:sz w:val="22"/>
                <w:u w:val="none"/>
              </w:rPr>
              <w:t>Section 8753</w:t>
            </w:r>
          </w:p>
        </w:tc>
        <w:tc>
          <w:tcPr>
            <w:tcW w:w="7472" w:type="dxa"/>
          </w:tcPr>
          <w:p>
            <w:pPr>
              <w:pStyle w:val="TableParagraph"/>
              <w:ind w:right="288"/>
              <w:jc w:val="both"/>
              <w:rPr>
                <w:sz w:val="22"/>
                <w:u w:val="none"/>
              </w:rPr>
            </w:pPr>
            <w:r>
              <w:rPr>
                <w:b/>
                <w:sz w:val="22"/>
                <w:u w:val="thick"/>
              </w:rPr>
              <w:t>Central Service Costs </w:t>
            </w:r>
            <w:r>
              <w:rPr>
                <w:sz w:val="22"/>
                <w:u w:val="none"/>
              </w:rPr>
              <w:t>Revised to amend the list of central service departments, add the Dental Benefits for Annuitants (Retired) to central service function code list.</w:t>
            </w:r>
          </w:p>
        </w:tc>
      </w:tr>
      <w:tr>
        <w:trPr>
          <w:trHeight w:val="757" w:hRule="exact"/>
        </w:trPr>
        <w:tc>
          <w:tcPr>
            <w:tcW w:w="2000" w:type="dxa"/>
          </w:tcPr>
          <w:p>
            <w:pPr>
              <w:pStyle w:val="TableParagraph"/>
              <w:rPr>
                <w:b/>
                <w:sz w:val="22"/>
                <w:u w:val="none"/>
              </w:rPr>
            </w:pPr>
            <w:r>
              <w:rPr>
                <w:b/>
                <w:sz w:val="22"/>
                <w:u w:val="none"/>
              </w:rPr>
              <w:t>Section 8755</w:t>
            </w:r>
          </w:p>
        </w:tc>
        <w:tc>
          <w:tcPr>
            <w:tcW w:w="7472" w:type="dxa"/>
          </w:tcPr>
          <w:p>
            <w:pPr>
              <w:pStyle w:val="TableParagraph"/>
              <w:ind w:right="227"/>
              <w:rPr>
                <w:sz w:val="22"/>
                <w:u w:val="none"/>
              </w:rPr>
            </w:pPr>
            <w:r>
              <w:rPr>
                <w:b/>
                <w:sz w:val="22"/>
                <w:u w:val="thick"/>
              </w:rPr>
              <w:t>Statewide Cost Allocation Plan (SWCAP) </w:t>
            </w:r>
            <w:r>
              <w:rPr>
                <w:sz w:val="22"/>
                <w:u w:val="none"/>
              </w:rPr>
              <w:t>Revised to spell out the Department of Finance (Finance), Fiscal Systems and Consulting Unit (FSCU).</w:t>
            </w:r>
          </w:p>
        </w:tc>
      </w:tr>
      <w:tr>
        <w:trPr>
          <w:trHeight w:val="503" w:hRule="exact"/>
        </w:trPr>
        <w:tc>
          <w:tcPr>
            <w:tcW w:w="2000" w:type="dxa"/>
          </w:tcPr>
          <w:p>
            <w:pPr>
              <w:pStyle w:val="TableParagraph"/>
              <w:rPr>
                <w:b/>
                <w:sz w:val="22"/>
                <w:u w:val="none"/>
              </w:rPr>
            </w:pPr>
            <w:r>
              <w:rPr>
                <w:b/>
                <w:sz w:val="22"/>
                <w:u w:val="none"/>
              </w:rPr>
              <w:t>Section 8755.1</w:t>
            </w:r>
          </w:p>
        </w:tc>
        <w:tc>
          <w:tcPr>
            <w:tcW w:w="7472" w:type="dxa"/>
          </w:tcPr>
          <w:p>
            <w:pPr>
              <w:pStyle w:val="TableParagraph"/>
              <w:rPr>
                <w:sz w:val="22"/>
                <w:u w:val="none"/>
              </w:rPr>
            </w:pPr>
            <w:r>
              <w:rPr>
                <w:b/>
                <w:sz w:val="22"/>
                <w:u w:val="thick"/>
              </w:rPr>
              <w:t>Departmental Process </w:t>
            </w:r>
            <w:r>
              <w:rPr>
                <w:sz w:val="22"/>
                <w:u w:val="none"/>
              </w:rPr>
              <w:t>Replace “DOF” acronym with “Finance”.</w:t>
            </w:r>
          </w:p>
        </w:tc>
      </w:tr>
      <w:tr>
        <w:trPr>
          <w:trHeight w:val="778" w:hRule="exact"/>
        </w:trPr>
        <w:tc>
          <w:tcPr>
            <w:tcW w:w="2000" w:type="dxa"/>
          </w:tcPr>
          <w:p>
            <w:pPr>
              <w:pStyle w:val="TableParagraph"/>
              <w:rPr>
                <w:b/>
                <w:sz w:val="22"/>
                <w:u w:val="none"/>
              </w:rPr>
            </w:pPr>
            <w:r>
              <w:rPr>
                <w:b/>
                <w:sz w:val="22"/>
                <w:u w:val="none"/>
              </w:rPr>
              <w:t>Section 8755.2</w:t>
            </w:r>
          </w:p>
        </w:tc>
        <w:tc>
          <w:tcPr>
            <w:tcW w:w="7472" w:type="dxa"/>
          </w:tcPr>
          <w:p>
            <w:pPr>
              <w:pStyle w:val="TableParagraph"/>
              <w:ind w:right="655"/>
              <w:rPr>
                <w:sz w:val="22"/>
                <w:u w:val="none"/>
              </w:rPr>
            </w:pPr>
            <w:r>
              <w:rPr>
                <w:b/>
                <w:sz w:val="22"/>
                <w:u w:val="thick"/>
              </w:rPr>
              <w:t>Indirect Cost Rate Recoveries </w:t>
            </w:r>
            <w:r>
              <w:rPr>
                <w:sz w:val="22"/>
                <w:u w:val="none"/>
              </w:rPr>
              <w:t>Revised to Spell out Government Code and replace “DOF” acronym with “Finance”.</w:t>
            </w:r>
          </w:p>
        </w:tc>
      </w:tr>
      <w:tr>
        <w:trPr>
          <w:trHeight w:val="784" w:hRule="exact"/>
        </w:trPr>
        <w:tc>
          <w:tcPr>
            <w:tcW w:w="2000" w:type="dxa"/>
          </w:tcPr>
          <w:p>
            <w:pPr>
              <w:pStyle w:val="TableParagraph"/>
              <w:spacing w:line="244" w:lineRule="auto"/>
              <w:ind w:right="523"/>
              <w:rPr>
                <w:b/>
                <w:sz w:val="22"/>
                <w:u w:val="none"/>
              </w:rPr>
            </w:pPr>
            <w:r>
              <w:rPr>
                <w:b/>
                <w:sz w:val="22"/>
                <w:u w:val="none"/>
              </w:rPr>
              <w:t>Section 8755.2 Illustration</w:t>
            </w:r>
          </w:p>
        </w:tc>
        <w:tc>
          <w:tcPr>
            <w:tcW w:w="7472" w:type="dxa"/>
          </w:tcPr>
          <w:p>
            <w:pPr>
              <w:pStyle w:val="TableParagraph"/>
              <w:rPr>
                <w:sz w:val="22"/>
                <w:u w:val="none"/>
              </w:rPr>
            </w:pPr>
            <w:r>
              <w:rPr>
                <w:b/>
                <w:sz w:val="22"/>
                <w:u w:val="thick"/>
              </w:rPr>
              <w:t>8755.2 Illustration </w:t>
            </w:r>
            <w:r>
              <w:rPr>
                <w:sz w:val="22"/>
                <w:u w:val="none"/>
              </w:rPr>
              <w:t>Section 8755.2 Illustration is a complete re-write.</w:t>
            </w:r>
          </w:p>
        </w:tc>
      </w:tr>
      <w:tr>
        <w:trPr>
          <w:trHeight w:val="1032" w:hRule="exact"/>
        </w:trPr>
        <w:tc>
          <w:tcPr>
            <w:tcW w:w="2000" w:type="dxa"/>
          </w:tcPr>
          <w:p>
            <w:pPr>
              <w:pStyle w:val="TableParagraph"/>
              <w:rPr>
                <w:b/>
                <w:sz w:val="22"/>
                <w:u w:val="none"/>
              </w:rPr>
            </w:pPr>
            <w:r>
              <w:rPr>
                <w:b/>
                <w:sz w:val="22"/>
                <w:u w:val="none"/>
              </w:rPr>
              <w:t>Sections 8756.1</w:t>
            </w:r>
          </w:p>
        </w:tc>
        <w:tc>
          <w:tcPr>
            <w:tcW w:w="7472" w:type="dxa"/>
          </w:tcPr>
          <w:p>
            <w:pPr>
              <w:pStyle w:val="TableParagraph"/>
              <w:ind w:right="240"/>
              <w:rPr>
                <w:sz w:val="22"/>
                <w:u w:val="none"/>
              </w:rPr>
            </w:pPr>
            <w:r>
              <w:rPr>
                <w:b/>
                <w:sz w:val="22"/>
                <w:u w:val="thick"/>
              </w:rPr>
              <w:t>Federal Indirect Cost Rate Proposal (ICRP) </w:t>
            </w:r>
            <w:r>
              <w:rPr>
                <w:sz w:val="22"/>
                <w:u w:val="none"/>
              </w:rPr>
              <w:t>Changed title to </w:t>
            </w:r>
            <w:r>
              <w:rPr>
                <w:i/>
                <w:sz w:val="22"/>
                <w:u w:val="none"/>
              </w:rPr>
              <w:t>Federal Indirect </w:t>
            </w:r>
            <w:r>
              <w:rPr>
                <w:i/>
                <w:sz w:val="22"/>
                <w:u w:val="none"/>
              </w:rPr>
              <w:t>Cost Rate Proposal (ICRP) and/or Cost Allocation Plans</w:t>
            </w:r>
            <w:r>
              <w:rPr>
                <w:sz w:val="22"/>
                <w:u w:val="none"/>
              </w:rPr>
              <w:t>, and add “CAP or PACAP” and replace “DOF” acronym with “Finance”.</w:t>
            </w:r>
          </w:p>
        </w:tc>
      </w:tr>
      <w:tr>
        <w:trPr>
          <w:trHeight w:val="757" w:hRule="exact"/>
        </w:trPr>
        <w:tc>
          <w:tcPr>
            <w:tcW w:w="2000" w:type="dxa"/>
          </w:tcPr>
          <w:p>
            <w:pPr>
              <w:pStyle w:val="TableParagraph"/>
              <w:rPr>
                <w:b/>
                <w:sz w:val="22"/>
                <w:u w:val="none"/>
              </w:rPr>
            </w:pPr>
            <w:r>
              <w:rPr>
                <w:b/>
                <w:sz w:val="22"/>
                <w:u w:val="none"/>
              </w:rPr>
              <w:t>Sections 8776.6</w:t>
            </w:r>
          </w:p>
        </w:tc>
        <w:tc>
          <w:tcPr>
            <w:tcW w:w="7472" w:type="dxa"/>
          </w:tcPr>
          <w:p>
            <w:pPr>
              <w:pStyle w:val="TableParagraph"/>
              <w:rPr>
                <w:sz w:val="22"/>
                <w:u w:val="none"/>
              </w:rPr>
            </w:pPr>
            <w:r>
              <w:rPr>
                <w:b/>
                <w:sz w:val="22"/>
                <w:u w:val="thick"/>
              </w:rPr>
              <w:t>Nonemployee Accounts Receivable </w:t>
            </w:r>
            <w:r>
              <w:rPr>
                <w:sz w:val="22"/>
                <w:u w:val="none"/>
              </w:rPr>
              <w:t>Revised due to the increased threshold from</w:t>
            </w:r>
          </w:p>
          <w:p>
            <w:pPr>
              <w:pStyle w:val="TableParagraph"/>
              <w:spacing w:before="1"/>
              <w:rPr>
                <w:sz w:val="22"/>
                <w:u w:val="none"/>
              </w:rPr>
            </w:pPr>
            <w:r>
              <w:rPr>
                <w:sz w:val="22"/>
                <w:u w:val="none"/>
              </w:rPr>
              <w:t>$250 to $500.</w:t>
            </w:r>
          </w:p>
        </w:tc>
      </w:tr>
      <w:tr>
        <w:trPr>
          <w:trHeight w:val="757" w:hRule="exact"/>
        </w:trPr>
        <w:tc>
          <w:tcPr>
            <w:tcW w:w="2000" w:type="dxa"/>
          </w:tcPr>
          <w:p>
            <w:pPr>
              <w:pStyle w:val="TableParagraph"/>
              <w:rPr>
                <w:b/>
                <w:sz w:val="22"/>
                <w:u w:val="none"/>
              </w:rPr>
            </w:pPr>
            <w:r>
              <w:rPr>
                <w:b/>
                <w:sz w:val="22"/>
                <w:u w:val="none"/>
              </w:rPr>
              <w:t>Sections 10509</w:t>
            </w:r>
          </w:p>
        </w:tc>
        <w:tc>
          <w:tcPr>
            <w:tcW w:w="7472" w:type="dxa"/>
          </w:tcPr>
          <w:p>
            <w:pPr>
              <w:pStyle w:val="TableParagraph"/>
              <w:ind w:right="545"/>
              <w:rPr>
                <w:sz w:val="22"/>
                <w:u w:val="none"/>
              </w:rPr>
            </w:pPr>
            <w:r>
              <w:rPr>
                <w:b/>
                <w:sz w:val="22"/>
                <w:u w:val="thick"/>
              </w:rPr>
              <w:t>Entry No. 9 [Accounts Receivable Are Written Off] </w:t>
            </w:r>
            <w:r>
              <w:rPr>
                <w:sz w:val="22"/>
                <w:u w:val="none"/>
              </w:rPr>
              <w:t>Revised due to the increased threshold from $250 to $500.</w:t>
            </w:r>
          </w:p>
        </w:tc>
      </w:tr>
    </w:tbl>
    <w:p>
      <w:pPr>
        <w:pStyle w:val="BodyText"/>
        <w:rPr>
          <w:sz w:val="24"/>
        </w:rPr>
      </w:pPr>
    </w:p>
    <w:p>
      <w:pPr>
        <w:pStyle w:val="BodyText"/>
        <w:spacing w:before="3"/>
        <w:rPr>
          <w:sz w:val="21"/>
        </w:rPr>
      </w:pPr>
    </w:p>
    <w:p>
      <w:pPr>
        <w:spacing w:before="0"/>
        <w:ind w:left="2863" w:right="0" w:firstLine="0"/>
        <w:jc w:val="left"/>
        <w:rPr>
          <w:b/>
          <w:sz w:val="22"/>
        </w:rPr>
      </w:pPr>
      <w:r>
        <w:rPr>
          <w:b/>
          <w:sz w:val="22"/>
        </w:rPr>
        <w:t>REVISION SEQUENCE INSTRUCTIONS</w:t>
      </w:r>
    </w:p>
    <w:p>
      <w:pPr>
        <w:spacing w:after="0"/>
        <w:jc w:val="left"/>
        <w:rPr>
          <w:sz w:val="22"/>
        </w:rPr>
        <w:sectPr>
          <w:footerReference w:type="default" r:id="rId5"/>
          <w:type w:val="continuous"/>
          <w:pgSz w:w="12240" w:h="15840"/>
          <w:pgMar w:footer="742" w:top="640" w:bottom="940" w:left="1220" w:right="1320"/>
        </w:sectPr>
      </w:pPr>
    </w:p>
    <w:p>
      <w:pPr>
        <w:pStyle w:val="BodyText"/>
        <w:spacing w:before="80"/>
        <w:ind w:left="220" w:right="125"/>
      </w:pPr>
      <w:r>
        <w:rPr/>
        <w:t>The SAM is undergoing a format transition. Therefore, page numbers are either at the center bottom or upper right corner of the page.</w:t>
      </w:r>
    </w:p>
    <w:p>
      <w:pPr>
        <w:pStyle w:val="BodyText"/>
        <w:spacing w:before="3"/>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rPr>
                <w:b/>
                <w:sz w:val="22"/>
                <w:u w:val="none"/>
              </w:rPr>
            </w:pPr>
            <w:r>
              <w:rPr>
                <w:b/>
                <w:sz w:val="22"/>
                <w:u w:val="none"/>
              </w:rPr>
              <w:t>Remove Page (s)</w:t>
            </w:r>
          </w:p>
        </w:tc>
        <w:tc>
          <w:tcPr>
            <w:tcW w:w="1710" w:type="dxa"/>
          </w:tcPr>
          <w:p>
            <w:pPr>
              <w:pStyle w:val="TableParagraph"/>
              <w:spacing w:line="244" w:lineRule="auto"/>
              <w:ind w:left="291" w:right="289"/>
              <w:jc w:val="center"/>
              <w:rPr>
                <w:b/>
                <w:sz w:val="22"/>
                <w:u w:val="none"/>
              </w:rPr>
            </w:pPr>
            <w:r>
              <w:rPr>
                <w:b/>
                <w:w w:val="95"/>
                <w:sz w:val="22"/>
                <w:u w:val="none"/>
              </w:rPr>
              <w:t>Consecutive </w:t>
            </w:r>
            <w:r>
              <w:rPr>
                <w:b/>
                <w:sz w:val="22"/>
                <w:u w:val="none"/>
              </w:rPr>
              <w:t>Number of Sheets</w:t>
            </w:r>
          </w:p>
        </w:tc>
        <w:tc>
          <w:tcPr>
            <w:tcW w:w="2610" w:type="dxa"/>
          </w:tcPr>
          <w:p>
            <w:pPr>
              <w:pStyle w:val="TableParagraph"/>
              <w:ind w:left="602" w:right="602"/>
              <w:jc w:val="center"/>
              <w:rPr>
                <w:b/>
                <w:sz w:val="22"/>
                <w:u w:val="none"/>
              </w:rPr>
            </w:pPr>
            <w:r>
              <w:rPr>
                <w:b/>
                <w:sz w:val="22"/>
                <w:u w:val="none"/>
              </w:rPr>
              <w:t>Insert Page (s)</w:t>
            </w:r>
          </w:p>
        </w:tc>
        <w:tc>
          <w:tcPr>
            <w:tcW w:w="1800" w:type="dxa"/>
          </w:tcPr>
          <w:p>
            <w:pPr>
              <w:pStyle w:val="TableParagraph"/>
              <w:spacing w:line="244" w:lineRule="auto"/>
              <w:ind w:left="336" w:right="333"/>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Page 7300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 8240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8474 thru 8474.4 (Cont. 1)</w:t>
            </w:r>
          </w:p>
        </w:tc>
        <w:tc>
          <w:tcPr>
            <w:tcW w:w="1710" w:type="dxa"/>
          </w:tcPr>
          <w:p>
            <w:pPr>
              <w:pStyle w:val="TableParagraph"/>
              <w:ind w:left="0" w:right="1"/>
              <w:jc w:val="center"/>
              <w:rPr>
                <w:b/>
                <w:sz w:val="22"/>
                <w:u w:val="none"/>
              </w:rPr>
            </w:pPr>
            <w:r>
              <w:rPr>
                <w:b/>
                <w:w w:val="99"/>
                <w:sz w:val="22"/>
                <w:u w:val="none"/>
              </w:rPr>
              <w:t>4</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4</w:t>
            </w:r>
          </w:p>
        </w:tc>
      </w:tr>
      <w:tr>
        <w:trPr>
          <w:trHeight w:val="526" w:hRule="exact"/>
        </w:trPr>
        <w:tc>
          <w:tcPr>
            <w:tcW w:w="3528" w:type="dxa"/>
          </w:tcPr>
          <w:p>
            <w:pPr>
              <w:pStyle w:val="TableParagraph"/>
              <w:rPr>
                <w:b/>
                <w:sz w:val="22"/>
                <w:u w:val="none"/>
              </w:rPr>
            </w:pPr>
            <w:r>
              <w:rPr>
                <w:b/>
                <w:sz w:val="22"/>
                <w:u w:val="none"/>
              </w:rPr>
              <w:t>Page 8700 Index</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 8740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8753 thru 8756.2</w:t>
            </w:r>
          </w:p>
        </w:tc>
        <w:tc>
          <w:tcPr>
            <w:tcW w:w="1710" w:type="dxa"/>
          </w:tcPr>
          <w:p>
            <w:pPr>
              <w:pStyle w:val="TableParagraph"/>
              <w:ind w:left="0" w:right="1"/>
              <w:jc w:val="center"/>
              <w:rPr>
                <w:b/>
                <w:sz w:val="22"/>
                <w:u w:val="none"/>
              </w:rPr>
            </w:pPr>
            <w:r>
              <w:rPr>
                <w:b/>
                <w:w w:val="99"/>
                <w:sz w:val="22"/>
                <w:u w:val="none"/>
              </w:rPr>
              <w:t>5</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spacing w:line="240" w:lineRule="exact" w:before="0"/>
              <w:ind w:left="0"/>
              <w:jc w:val="center"/>
              <w:rPr>
                <w:b/>
                <w:sz w:val="22"/>
                <w:u w:val="none"/>
              </w:rPr>
            </w:pPr>
            <w:r>
              <w:rPr>
                <w:b/>
                <w:w w:val="99"/>
                <w:sz w:val="22"/>
                <w:u w:val="none"/>
              </w:rPr>
              <w:t>5</w:t>
            </w:r>
          </w:p>
        </w:tc>
      </w:tr>
      <w:tr>
        <w:trPr>
          <w:trHeight w:val="784" w:hRule="exact"/>
        </w:trPr>
        <w:tc>
          <w:tcPr>
            <w:tcW w:w="3528" w:type="dxa"/>
          </w:tcPr>
          <w:p>
            <w:pPr>
              <w:pStyle w:val="TableParagraph"/>
              <w:rPr>
                <w:b/>
                <w:sz w:val="22"/>
                <w:u w:val="none"/>
              </w:rPr>
            </w:pPr>
            <w:r>
              <w:rPr>
                <w:b/>
                <w:sz w:val="22"/>
                <w:u w:val="none"/>
              </w:rPr>
              <w:t>Pages 8776 (Cont. 1) thru 8776.6</w:t>
            </w:r>
          </w:p>
          <w:p>
            <w:pPr>
              <w:pStyle w:val="TableParagraph"/>
              <w:rPr>
                <w:b/>
                <w:sz w:val="22"/>
                <w:u w:val="none"/>
              </w:rPr>
            </w:pPr>
            <w:r>
              <w:rPr>
                <w:b/>
                <w:sz w:val="22"/>
                <w:u w:val="none"/>
              </w:rPr>
              <w:t>(Cont. 2)</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ind w:left="0"/>
              <w:jc w:val="center"/>
              <w:rPr>
                <w:b/>
                <w:sz w:val="22"/>
                <w:u w:val="none"/>
              </w:rPr>
            </w:pPr>
            <w:r>
              <w:rPr>
                <w:b/>
                <w:w w:val="99"/>
                <w:sz w:val="22"/>
                <w:u w:val="none"/>
              </w:rPr>
              <w:t>2</w:t>
            </w:r>
          </w:p>
        </w:tc>
      </w:tr>
      <w:tr>
        <w:trPr>
          <w:trHeight w:val="526" w:hRule="exact"/>
        </w:trPr>
        <w:tc>
          <w:tcPr>
            <w:tcW w:w="3528" w:type="dxa"/>
          </w:tcPr>
          <w:p>
            <w:pPr>
              <w:pStyle w:val="TableParagraph"/>
              <w:rPr>
                <w:b/>
                <w:sz w:val="22"/>
                <w:u w:val="none"/>
              </w:rPr>
            </w:pPr>
            <w:r>
              <w:rPr>
                <w:b/>
                <w:sz w:val="22"/>
                <w:u w:val="none"/>
              </w:rPr>
              <w:t>Page 10509</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602" w:right="602"/>
              <w:jc w:val="center"/>
              <w:rPr>
                <w:b/>
                <w:sz w:val="22"/>
                <w:u w:val="none"/>
              </w:rPr>
            </w:pPr>
            <w:r>
              <w:rPr>
                <w:b/>
                <w:sz w:val="22"/>
                <w:u w:val="none"/>
              </w:rPr>
              <w:t>Same</w:t>
            </w:r>
          </w:p>
        </w:tc>
        <w:tc>
          <w:tcPr>
            <w:tcW w:w="1800" w:type="dxa"/>
          </w:tcPr>
          <w:p>
            <w:pPr>
              <w:pStyle w:val="TableParagraph"/>
              <w:ind w:left="0"/>
              <w:jc w:val="center"/>
              <w:rPr>
                <w:b/>
                <w:sz w:val="22"/>
                <w:u w:val="none"/>
              </w:rPr>
            </w:pPr>
            <w:r>
              <w:rPr>
                <w:b/>
                <w:w w:val="99"/>
                <w:sz w:val="22"/>
                <w:u w:val="none"/>
              </w:rPr>
              <w:t>1</w:t>
            </w:r>
          </w:p>
        </w:tc>
      </w:tr>
    </w:tbl>
    <w:sectPr>
      <w:pgSz w:w="12240" w:h="15840"/>
      <w:pgMar w:header="0" w:footer="742" w:top="640" w:bottom="9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7072" type="#_x0000_t202" filled="false" stroked="false">
          <v:textbox inset="0,0,0,0">
            <w:txbxContent>
              <w:p>
                <w:pPr>
                  <w:spacing w:before="12"/>
                  <w:ind w:left="20" w:right="0" w:firstLine="0"/>
                  <w:jc w:val="left"/>
                  <w:rPr>
                    <w:b/>
                    <w:sz w:val="20"/>
                  </w:rPr>
                </w:pPr>
                <w:r>
                  <w:rPr>
                    <w:b/>
                    <w:sz w:val="20"/>
                  </w:rPr>
                  <w:t>Rev. 408</w:t>
                </w:r>
              </w:p>
            </w:txbxContent>
          </v:textbox>
          <w10:wrap type="none"/>
        </v:shape>
      </w:pict>
    </w:r>
    <w:r>
      <w:rPr/>
      <w:pict>
        <v:shape style="position:absolute;margin-left:458.433319pt;margin-top:743.911072pt;width:82.55pt;height:13.1pt;mso-position-horizontal-relative:page;mso-position-vertical-relative:page;z-index:-7048" type="#_x0000_t202" filled="false" stroked="false">
          <v:textbox inset="0,0,0,0">
            <w:txbxContent>
              <w:p>
                <w:pPr>
                  <w:spacing w:before="12"/>
                  <w:ind w:left="20" w:right="0" w:firstLine="0"/>
                  <w:jc w:val="left"/>
                  <w:rPr>
                    <w:b/>
                    <w:sz w:val="20"/>
                  </w:rPr>
                </w:pPr>
                <w:r>
                  <w:rPr>
                    <w:b/>
                    <w:sz w:val="20"/>
                  </w:rPr>
                  <w:t>DECEMBER 2009</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
      <w:ind w:left="103"/>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2020-07-14T10:03:05Z</dcterms:created>
  <dcterms:modified xsi:type="dcterms:W3CDTF">2020-07-14T10:03:05Z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2009-12-15T00:00:00Z</vt:filetime>
  </property>
  <property fmtid="{D5CDD505-2E9C-101B-9397-08002B2CF9AE}" pid="3" name="Creator">
    <vt:lpwstr>Acrobat PDFMaker 7.0.7 for Word</vt:lpwstr>
  </property>
  <property fmtid="{D5CDD505-2E9C-101B-9397-08002B2CF9AE}" pid="4" name="LastSaved">
    <vt:filetime>2020-07-14T00:00:00Z</vt:filetime>
  </property>
</Properties>
</file>