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9"/>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6"/>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9" w:hRule="exact"/>
        </w:trPr>
        <w:tc>
          <w:tcPr>
            <w:tcW w:w="2000" w:type="dxa"/>
            <w:tcBorders>
              <w:top w:val="nil"/>
              <w:left w:val="nil"/>
              <w:right w:val="nil"/>
            </w:tcBorders>
          </w:tcPr>
          <w:p>
            <w:pPr>
              <w:pStyle w:val="TableParagraph"/>
              <w:spacing w:line="245"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5" w:lineRule="exact" w:before="0"/>
              <w:ind w:left="2007"/>
              <w:rPr>
                <w:b/>
                <w:sz w:val="22"/>
                <w:u w:val="none"/>
              </w:rPr>
            </w:pPr>
            <w:r>
              <w:rPr>
                <w:b/>
                <w:sz w:val="22"/>
                <w:u w:val="none"/>
              </w:rPr>
              <w:t>SUMMARY</w:t>
            </w:r>
          </w:p>
        </w:tc>
      </w:tr>
      <w:tr>
        <w:trPr>
          <w:trHeight w:val="773" w:hRule="exact"/>
        </w:trPr>
        <w:tc>
          <w:tcPr>
            <w:tcW w:w="2000" w:type="dxa"/>
          </w:tcPr>
          <w:p>
            <w:pPr>
              <w:pStyle w:val="TableParagraph"/>
              <w:spacing w:before="4"/>
              <w:rPr>
                <w:b/>
                <w:sz w:val="22"/>
                <w:u w:val="none"/>
              </w:rPr>
            </w:pPr>
            <w:r>
              <w:rPr>
                <w:b/>
                <w:sz w:val="22"/>
                <w:u w:val="none"/>
              </w:rPr>
              <w:t>4800 Index</w:t>
            </w:r>
          </w:p>
        </w:tc>
        <w:tc>
          <w:tcPr>
            <w:tcW w:w="7472" w:type="dxa"/>
          </w:tcPr>
          <w:p>
            <w:pPr>
              <w:pStyle w:val="TableParagraph"/>
              <w:ind w:right="993" w:hanging="1"/>
              <w:rPr>
                <w:sz w:val="22"/>
                <w:u w:val="none"/>
              </w:rPr>
            </w:pPr>
            <w:r>
              <w:rPr>
                <w:b/>
                <w:sz w:val="22"/>
                <w:u w:val="thick"/>
              </w:rPr>
              <w:t>Section 4982.1 </w:t>
            </w:r>
            <w:r>
              <w:rPr>
                <w:sz w:val="22"/>
                <w:u w:val="none"/>
              </w:rPr>
              <w:t>Changed Title to “Data Center Consolidation and Determination of Agency-Data Center Assignments”.</w:t>
            </w:r>
          </w:p>
        </w:tc>
      </w:tr>
      <w:tr>
        <w:trPr>
          <w:trHeight w:val="1025" w:hRule="exact"/>
        </w:trPr>
        <w:tc>
          <w:tcPr>
            <w:tcW w:w="2000" w:type="dxa"/>
          </w:tcPr>
          <w:p>
            <w:pPr>
              <w:pStyle w:val="TableParagraph"/>
              <w:rPr>
                <w:b/>
                <w:sz w:val="22"/>
                <w:u w:val="none"/>
              </w:rPr>
            </w:pPr>
            <w:r>
              <w:rPr>
                <w:b/>
                <w:sz w:val="22"/>
                <w:u w:val="none"/>
              </w:rPr>
              <w:t>Section 4819.2</w:t>
            </w:r>
          </w:p>
        </w:tc>
        <w:tc>
          <w:tcPr>
            <w:tcW w:w="7472" w:type="dxa"/>
          </w:tcPr>
          <w:p>
            <w:pPr>
              <w:pStyle w:val="TableParagraph"/>
              <w:ind w:right="297"/>
              <w:rPr>
                <w:sz w:val="22"/>
                <w:u w:val="none"/>
              </w:rPr>
            </w:pPr>
            <w:r>
              <w:rPr>
                <w:b/>
                <w:sz w:val="22"/>
                <w:u w:val="thick"/>
              </w:rPr>
              <w:t>Definitions, </w:t>
            </w:r>
            <w:r>
              <w:rPr>
                <w:sz w:val="22"/>
                <w:u w:val="none"/>
              </w:rPr>
              <w:t>Added definitions for (1) Emergency; (2) Federated Data Center; (3) Network Equipment; (4) Public Facing Application; (5) Server Room; (6) Tier III-equivalent Data Center; and (7) Virtualization.</w:t>
            </w:r>
          </w:p>
        </w:tc>
      </w:tr>
      <w:tr>
        <w:trPr>
          <w:trHeight w:val="1283" w:hRule="exact"/>
        </w:trPr>
        <w:tc>
          <w:tcPr>
            <w:tcW w:w="2000" w:type="dxa"/>
          </w:tcPr>
          <w:p>
            <w:pPr>
              <w:pStyle w:val="TableParagraph"/>
              <w:rPr>
                <w:b/>
                <w:sz w:val="22"/>
                <w:u w:val="none"/>
              </w:rPr>
            </w:pPr>
            <w:r>
              <w:rPr>
                <w:b/>
                <w:sz w:val="22"/>
                <w:u w:val="none"/>
              </w:rPr>
              <w:t>Section 4982.1</w:t>
            </w:r>
          </w:p>
        </w:tc>
        <w:tc>
          <w:tcPr>
            <w:tcW w:w="7472" w:type="dxa"/>
          </w:tcPr>
          <w:p>
            <w:pPr>
              <w:pStyle w:val="TableParagraph"/>
              <w:ind w:right="89" w:hanging="1"/>
              <w:rPr>
                <w:sz w:val="22"/>
                <w:u w:val="none"/>
              </w:rPr>
            </w:pPr>
            <w:r>
              <w:rPr>
                <w:b/>
                <w:sz w:val="22"/>
                <w:u w:val="thick"/>
              </w:rPr>
              <w:t>Data Center Consolidation and Determination of Agency-Data Center Assignments, </w:t>
            </w:r>
            <w:r>
              <w:rPr>
                <w:sz w:val="22"/>
                <w:u w:val="none"/>
              </w:rPr>
              <w:t>Changed title and updated language to include policy changes related to IT Policy Letter 10-14 concerning Data Center Consolidation and Data Center Assignments.</w:t>
            </w:r>
          </w:p>
        </w:tc>
      </w:tr>
      <w:tr>
        <w:trPr>
          <w:trHeight w:val="1025" w:hRule="exact"/>
        </w:trPr>
        <w:tc>
          <w:tcPr>
            <w:tcW w:w="2000" w:type="dxa"/>
          </w:tcPr>
          <w:p>
            <w:pPr>
              <w:pStyle w:val="TableParagraph"/>
              <w:rPr>
                <w:b/>
                <w:sz w:val="22"/>
                <w:u w:val="none"/>
              </w:rPr>
            </w:pPr>
            <w:r>
              <w:rPr>
                <w:b/>
                <w:sz w:val="22"/>
                <w:u w:val="none"/>
              </w:rPr>
              <w:t>Section 4982.2</w:t>
            </w:r>
          </w:p>
        </w:tc>
        <w:tc>
          <w:tcPr>
            <w:tcW w:w="7472" w:type="dxa"/>
          </w:tcPr>
          <w:p>
            <w:pPr>
              <w:pStyle w:val="TableParagraph"/>
              <w:ind w:right="577"/>
              <w:rPr>
                <w:sz w:val="22"/>
                <w:u w:val="none"/>
              </w:rPr>
            </w:pPr>
            <w:r>
              <w:rPr>
                <w:b/>
                <w:sz w:val="22"/>
                <w:u w:val="thick"/>
              </w:rPr>
              <w:t>Policies for Data Center Management, </w:t>
            </w:r>
            <w:r>
              <w:rPr>
                <w:sz w:val="22"/>
                <w:u w:val="none"/>
              </w:rPr>
              <w:t>Minor name changes to the organizations referenced in “Data Center Financial Management” and “Exchange of Data Between Data Centers”.</w:t>
            </w:r>
          </w:p>
        </w:tc>
      </w:tr>
      <w:tr>
        <w:trPr>
          <w:trHeight w:val="1025" w:hRule="exact"/>
        </w:trPr>
        <w:tc>
          <w:tcPr>
            <w:tcW w:w="2000" w:type="dxa"/>
          </w:tcPr>
          <w:p>
            <w:pPr>
              <w:pStyle w:val="TableParagraph"/>
              <w:rPr>
                <w:b/>
                <w:sz w:val="22"/>
                <w:u w:val="none"/>
              </w:rPr>
            </w:pPr>
            <w:r>
              <w:rPr>
                <w:b/>
                <w:sz w:val="22"/>
                <w:u w:val="none"/>
              </w:rPr>
              <w:t>Section 7680</w:t>
            </w:r>
          </w:p>
        </w:tc>
        <w:tc>
          <w:tcPr>
            <w:tcW w:w="7472" w:type="dxa"/>
          </w:tcPr>
          <w:p>
            <w:pPr>
              <w:pStyle w:val="TableParagraph"/>
              <w:ind w:right="89" w:hanging="1"/>
              <w:rPr>
                <w:sz w:val="22"/>
                <w:u w:val="none"/>
              </w:rPr>
            </w:pPr>
            <w:r>
              <w:rPr>
                <w:b/>
                <w:sz w:val="22"/>
                <w:u w:val="thick"/>
              </w:rPr>
              <w:t>Other Financial Sources/Uses, </w:t>
            </w:r>
            <w:r>
              <w:rPr>
                <w:sz w:val="22"/>
                <w:u w:val="none"/>
              </w:rPr>
              <w:t>Revised to reflect that the fund number is required at the subsidiary level for the general ledger accounts 9811 (Operating Transfers In) and 9812 (Operating Transfers Out).</w:t>
            </w:r>
          </w:p>
        </w:tc>
      </w:tr>
      <w:tr>
        <w:trPr>
          <w:trHeight w:val="773" w:hRule="exact"/>
        </w:trPr>
        <w:tc>
          <w:tcPr>
            <w:tcW w:w="2000" w:type="dxa"/>
          </w:tcPr>
          <w:p>
            <w:pPr>
              <w:pStyle w:val="TableParagraph"/>
              <w:rPr>
                <w:b/>
                <w:sz w:val="22"/>
                <w:u w:val="none"/>
              </w:rPr>
            </w:pPr>
            <w:r>
              <w:rPr>
                <w:b/>
                <w:sz w:val="22"/>
                <w:u w:val="none"/>
              </w:rPr>
              <w:t>Section 7951</w:t>
            </w:r>
          </w:p>
        </w:tc>
        <w:tc>
          <w:tcPr>
            <w:tcW w:w="7472" w:type="dxa"/>
          </w:tcPr>
          <w:p>
            <w:pPr>
              <w:pStyle w:val="TableParagraph"/>
              <w:ind w:right="592"/>
              <w:rPr>
                <w:sz w:val="22"/>
                <w:u w:val="none"/>
              </w:rPr>
            </w:pPr>
            <w:r>
              <w:rPr>
                <w:b/>
                <w:sz w:val="22"/>
                <w:u w:val="thick"/>
              </w:rPr>
              <w:t>List of Year-End Reports and Their Distribution, </w:t>
            </w:r>
            <w:r>
              <w:rPr>
                <w:sz w:val="22"/>
                <w:u w:val="none"/>
              </w:rPr>
              <w:t>Revised to reflect current year-end report and submission requirements.</w:t>
            </w:r>
          </w:p>
        </w:tc>
      </w:tr>
      <w:tr>
        <w:trPr>
          <w:trHeight w:val="1025" w:hRule="exact"/>
        </w:trPr>
        <w:tc>
          <w:tcPr>
            <w:tcW w:w="2000" w:type="dxa"/>
          </w:tcPr>
          <w:p>
            <w:pPr>
              <w:pStyle w:val="TableParagraph"/>
              <w:rPr>
                <w:b/>
                <w:sz w:val="22"/>
                <w:u w:val="none"/>
              </w:rPr>
            </w:pPr>
            <w:r>
              <w:rPr>
                <w:b/>
                <w:sz w:val="22"/>
                <w:u w:val="none"/>
              </w:rPr>
              <w:t>Section 8020</w:t>
            </w:r>
          </w:p>
        </w:tc>
        <w:tc>
          <w:tcPr>
            <w:tcW w:w="7472" w:type="dxa"/>
          </w:tcPr>
          <w:p>
            <w:pPr>
              <w:pStyle w:val="TableParagraph"/>
              <w:ind w:right="297"/>
              <w:rPr>
                <w:sz w:val="22"/>
                <w:u w:val="none"/>
              </w:rPr>
            </w:pPr>
            <w:r>
              <w:rPr>
                <w:b/>
                <w:sz w:val="22"/>
                <w:u w:val="thick"/>
              </w:rPr>
              <w:t>Receipts, </w:t>
            </w:r>
            <w:r>
              <w:rPr>
                <w:sz w:val="22"/>
                <w:u w:val="none"/>
              </w:rPr>
              <w:t>Revised to reflect current receipt requirements. Departments must use a controlled numbering system for all receipts, which may include system generated receipts numbers or pre-numbered receipts.</w:t>
            </w:r>
          </w:p>
        </w:tc>
      </w:tr>
      <w:tr>
        <w:trPr>
          <w:trHeight w:val="1025" w:hRule="exact"/>
        </w:trPr>
        <w:tc>
          <w:tcPr>
            <w:tcW w:w="2000" w:type="dxa"/>
          </w:tcPr>
          <w:p>
            <w:pPr>
              <w:pStyle w:val="TableParagraph"/>
              <w:rPr>
                <w:b/>
                <w:sz w:val="22"/>
                <w:u w:val="none"/>
              </w:rPr>
            </w:pPr>
            <w:r>
              <w:rPr>
                <w:b/>
                <w:sz w:val="22"/>
                <w:u w:val="none"/>
              </w:rPr>
              <w:t>8400 Index</w:t>
            </w:r>
          </w:p>
        </w:tc>
        <w:tc>
          <w:tcPr>
            <w:tcW w:w="7472" w:type="dxa"/>
          </w:tcPr>
          <w:p>
            <w:pPr>
              <w:pStyle w:val="TableParagraph"/>
              <w:ind w:right="406" w:hanging="1"/>
              <w:rPr>
                <w:sz w:val="22"/>
                <w:u w:val="none"/>
              </w:rPr>
            </w:pPr>
            <w:r>
              <w:rPr>
                <w:b/>
                <w:sz w:val="22"/>
                <w:u w:val="thick"/>
              </w:rPr>
              <w:t>Section 8479, </w:t>
            </w:r>
            <w:r>
              <w:rPr>
                <w:sz w:val="22"/>
                <w:u w:val="none"/>
              </w:rPr>
              <w:t>“Payments on Contracts with Other Governmental Jurisdictions” was deleted because the information is contained in SAM sections 8001.1, 8002, and 18420.</w:t>
            </w:r>
          </w:p>
        </w:tc>
      </w:tr>
      <w:tr>
        <w:trPr>
          <w:trHeight w:val="1025" w:hRule="exact"/>
        </w:trPr>
        <w:tc>
          <w:tcPr>
            <w:tcW w:w="2000" w:type="dxa"/>
          </w:tcPr>
          <w:p>
            <w:pPr>
              <w:pStyle w:val="TableParagraph"/>
              <w:rPr>
                <w:b/>
                <w:sz w:val="22"/>
                <w:u w:val="none"/>
              </w:rPr>
            </w:pPr>
            <w:r>
              <w:rPr>
                <w:b/>
                <w:sz w:val="22"/>
                <w:u w:val="none"/>
              </w:rPr>
              <w:t>Section 8479</w:t>
            </w:r>
          </w:p>
        </w:tc>
        <w:tc>
          <w:tcPr>
            <w:tcW w:w="7472" w:type="dxa"/>
          </w:tcPr>
          <w:p>
            <w:pPr>
              <w:pStyle w:val="TableParagraph"/>
              <w:ind w:right="250" w:hanging="1"/>
              <w:rPr>
                <w:sz w:val="22"/>
                <w:u w:val="none"/>
              </w:rPr>
            </w:pPr>
            <w:r>
              <w:rPr>
                <w:b/>
                <w:sz w:val="22"/>
                <w:u w:val="thick"/>
              </w:rPr>
              <w:t>Payments on Contracts with Other Governmental Jurisdictions, </w:t>
            </w:r>
            <w:r>
              <w:rPr>
                <w:sz w:val="22"/>
                <w:u w:val="none"/>
              </w:rPr>
              <w:t>was deleted because the information is contained in SAM sections 8001.1, 8002, and 18420.</w:t>
            </w:r>
          </w:p>
        </w:tc>
      </w:tr>
      <w:tr>
        <w:trPr>
          <w:trHeight w:val="1277" w:hRule="exact"/>
        </w:trPr>
        <w:tc>
          <w:tcPr>
            <w:tcW w:w="2000" w:type="dxa"/>
          </w:tcPr>
          <w:p>
            <w:pPr>
              <w:pStyle w:val="TableParagraph"/>
              <w:rPr>
                <w:b/>
                <w:sz w:val="22"/>
                <w:u w:val="none"/>
              </w:rPr>
            </w:pPr>
            <w:r>
              <w:rPr>
                <w:b/>
                <w:sz w:val="22"/>
                <w:u w:val="none"/>
              </w:rPr>
              <w:t>Section 8740</w:t>
            </w:r>
          </w:p>
        </w:tc>
        <w:tc>
          <w:tcPr>
            <w:tcW w:w="7472" w:type="dxa"/>
          </w:tcPr>
          <w:p>
            <w:pPr>
              <w:pStyle w:val="TableParagraph"/>
              <w:ind w:right="173" w:hanging="1"/>
              <w:rPr>
                <w:sz w:val="22"/>
                <w:u w:val="none"/>
              </w:rPr>
            </w:pPr>
            <w:r>
              <w:rPr>
                <w:b/>
                <w:sz w:val="22"/>
                <w:u w:val="thick"/>
              </w:rPr>
              <w:t>Billing for Services of Employees Paid on Monthly Basis, </w:t>
            </w:r>
            <w:r>
              <w:rPr>
                <w:sz w:val="22"/>
                <w:u w:val="none"/>
              </w:rPr>
              <w:t>Revised to update the state employees billing rates for 2011. The new professional development leave is added under “Other Absences” to calculate the total actual working hours per year.</w:t>
            </w:r>
          </w:p>
        </w:tc>
      </w:tr>
    </w:tbl>
    <w:p>
      <w:pPr>
        <w:spacing w:after="0"/>
        <w:rPr>
          <w:sz w:val="22"/>
        </w:rPr>
        <w:sectPr>
          <w:footerReference w:type="default" r:id="rId5"/>
          <w:type w:val="continuous"/>
          <w:pgSz w:w="12240" w:h="15840"/>
          <w:pgMar w:footer="745" w:top="900" w:bottom="940" w:left="1220" w:right="1320"/>
        </w:sectPr>
      </w:pPr>
    </w:p>
    <w:p>
      <w:pPr>
        <w:spacing w:before="63"/>
        <w:ind w:left="2875" w:right="0" w:firstLine="0"/>
        <w:jc w:val="left"/>
        <w:rPr>
          <w:b/>
          <w:sz w:val="22"/>
        </w:rPr>
      </w:pPr>
      <w:r>
        <w:rPr>
          <w:b/>
          <w:sz w:val="22"/>
        </w:rPr>
        <w:t>REVISION SEQUENCE INSTRUCTIONS</w:t>
      </w:r>
    </w:p>
    <w:p>
      <w:pPr>
        <w:pStyle w:val="BodyText"/>
        <w:spacing w:before="178"/>
        <w:ind w:left="219" w:right="8"/>
      </w:pPr>
      <w:r>
        <w:rPr/>
        <w:t>The SAM is undergoing a format transition. Therefore, page numbers are either at the center bottom or upper right corner of the page.</w:t>
      </w:r>
    </w:p>
    <w:p>
      <w:pPr>
        <w:pStyle w:val="BodyText"/>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spacing w:before="4"/>
              <w:rPr>
                <w:b/>
                <w:sz w:val="22"/>
                <w:u w:val="none"/>
              </w:rPr>
            </w:pPr>
            <w:r>
              <w:rPr>
                <w:b/>
                <w:sz w:val="22"/>
                <w:u w:val="none"/>
              </w:rPr>
              <w:t>Remove Page (s)</w:t>
            </w:r>
          </w:p>
        </w:tc>
        <w:tc>
          <w:tcPr>
            <w:tcW w:w="1710" w:type="dxa"/>
          </w:tcPr>
          <w:p>
            <w:pPr>
              <w:pStyle w:val="TableParagraph"/>
              <w:spacing w:line="244" w:lineRule="auto" w:before="4"/>
              <w:ind w:left="209" w:right="208"/>
              <w:jc w:val="center"/>
              <w:rPr>
                <w:b/>
                <w:sz w:val="22"/>
                <w:u w:val="none"/>
              </w:rPr>
            </w:pPr>
            <w:r>
              <w:rPr>
                <w:b/>
                <w:w w:val="95"/>
                <w:sz w:val="22"/>
                <w:u w:val="none"/>
              </w:rPr>
              <w:t>Consecutive </w:t>
            </w:r>
            <w:r>
              <w:rPr>
                <w:b/>
                <w:sz w:val="22"/>
                <w:u w:val="none"/>
              </w:rPr>
              <w:t>Number of Sheets</w:t>
            </w:r>
          </w:p>
        </w:tc>
        <w:tc>
          <w:tcPr>
            <w:tcW w:w="2610" w:type="dxa"/>
          </w:tcPr>
          <w:p>
            <w:pPr>
              <w:pStyle w:val="TableParagraph"/>
              <w:spacing w:before="4"/>
              <w:ind w:left="209" w:right="209"/>
              <w:jc w:val="center"/>
              <w:rPr>
                <w:b/>
                <w:sz w:val="22"/>
                <w:u w:val="none"/>
              </w:rPr>
            </w:pPr>
            <w:r>
              <w:rPr>
                <w:b/>
                <w:sz w:val="22"/>
                <w:u w:val="none"/>
              </w:rPr>
              <w:t>Insert Page (s)</w:t>
            </w:r>
          </w:p>
        </w:tc>
        <w:tc>
          <w:tcPr>
            <w:tcW w:w="1800" w:type="dxa"/>
          </w:tcPr>
          <w:p>
            <w:pPr>
              <w:pStyle w:val="TableParagraph"/>
              <w:spacing w:line="244" w:lineRule="auto" w:before="4"/>
              <w:ind w:left="254" w:right="252"/>
              <w:jc w:val="center"/>
              <w:rPr>
                <w:b/>
                <w:sz w:val="22"/>
                <w:u w:val="none"/>
              </w:rPr>
            </w:pPr>
            <w:r>
              <w:rPr>
                <w:b/>
                <w:w w:val="95"/>
                <w:sz w:val="22"/>
                <w:u w:val="none"/>
              </w:rPr>
              <w:t>Consecutive </w:t>
            </w:r>
            <w:r>
              <w:rPr>
                <w:b/>
                <w:sz w:val="22"/>
                <w:u w:val="none"/>
              </w:rPr>
              <w:t>Number of Sheets</w:t>
            </w:r>
          </w:p>
        </w:tc>
      </w:tr>
      <w:tr>
        <w:trPr>
          <w:trHeight w:val="784" w:hRule="exact"/>
        </w:trPr>
        <w:tc>
          <w:tcPr>
            <w:tcW w:w="3528" w:type="dxa"/>
          </w:tcPr>
          <w:p>
            <w:pPr>
              <w:pStyle w:val="TableParagraph"/>
              <w:rPr>
                <w:b/>
                <w:sz w:val="22"/>
                <w:u w:val="none"/>
              </w:rPr>
            </w:pPr>
            <w:r>
              <w:rPr>
                <w:b/>
                <w:sz w:val="22"/>
                <w:u w:val="none"/>
              </w:rPr>
              <w:t>4800 Index – 4900 Index</w:t>
            </w:r>
          </w:p>
          <w:p>
            <w:pPr>
              <w:pStyle w:val="TableParagraph"/>
              <w:rPr>
                <w:b/>
                <w:sz w:val="22"/>
                <w:u w:val="none"/>
              </w:rPr>
            </w:pPr>
            <w:r>
              <w:rPr>
                <w:b/>
                <w:sz w:val="22"/>
                <w:u w:val="none"/>
              </w:rPr>
              <w:t>(Cont. 2)</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209" w:right="209"/>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4819.2 through 4819.3</w:t>
            </w:r>
          </w:p>
        </w:tc>
        <w:tc>
          <w:tcPr>
            <w:tcW w:w="1710" w:type="dxa"/>
          </w:tcPr>
          <w:p>
            <w:pPr>
              <w:pStyle w:val="TableParagraph"/>
              <w:ind w:left="0" w:right="1"/>
              <w:jc w:val="center"/>
              <w:rPr>
                <w:b/>
                <w:sz w:val="22"/>
                <w:u w:val="none"/>
              </w:rPr>
            </w:pPr>
            <w:r>
              <w:rPr>
                <w:b/>
                <w:w w:val="99"/>
                <w:sz w:val="22"/>
                <w:u w:val="none"/>
              </w:rPr>
              <w:t>3</w:t>
            </w:r>
          </w:p>
        </w:tc>
        <w:tc>
          <w:tcPr>
            <w:tcW w:w="2610" w:type="dxa"/>
          </w:tcPr>
          <w:p>
            <w:pPr>
              <w:pStyle w:val="TableParagraph"/>
              <w:ind w:left="209" w:right="210"/>
              <w:jc w:val="center"/>
              <w:rPr>
                <w:b/>
                <w:sz w:val="22"/>
                <w:u w:val="none"/>
              </w:rPr>
            </w:pPr>
            <w:r>
              <w:rPr>
                <w:b/>
                <w:sz w:val="22"/>
                <w:u w:val="none"/>
              </w:rPr>
              <w:t>Same + 1</w:t>
            </w:r>
          </w:p>
        </w:tc>
        <w:tc>
          <w:tcPr>
            <w:tcW w:w="1800" w:type="dxa"/>
          </w:tcPr>
          <w:p>
            <w:pPr>
              <w:pStyle w:val="TableParagraph"/>
              <w:spacing w:line="239" w:lineRule="exact" w:before="0"/>
              <w:ind w:left="0"/>
              <w:jc w:val="center"/>
              <w:rPr>
                <w:b/>
                <w:sz w:val="22"/>
                <w:u w:val="none"/>
              </w:rPr>
            </w:pPr>
            <w:r>
              <w:rPr>
                <w:b/>
                <w:w w:val="99"/>
                <w:sz w:val="22"/>
                <w:u w:val="none"/>
              </w:rPr>
              <w:t>4</w:t>
            </w:r>
          </w:p>
        </w:tc>
      </w:tr>
      <w:tr>
        <w:trPr>
          <w:trHeight w:val="490" w:hRule="exact"/>
        </w:trPr>
        <w:tc>
          <w:tcPr>
            <w:tcW w:w="3528" w:type="dxa"/>
          </w:tcPr>
          <w:p>
            <w:pPr>
              <w:pStyle w:val="TableParagraph"/>
              <w:rPr>
                <w:b/>
                <w:sz w:val="22"/>
                <w:u w:val="none"/>
              </w:rPr>
            </w:pPr>
            <w:r>
              <w:rPr>
                <w:b/>
                <w:sz w:val="22"/>
                <w:u w:val="none"/>
              </w:rPr>
              <w:t>4981 through 4989</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209" w:right="209"/>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3</w:t>
            </w:r>
          </w:p>
        </w:tc>
      </w:tr>
      <w:tr>
        <w:trPr>
          <w:trHeight w:val="784" w:hRule="exact"/>
        </w:trPr>
        <w:tc>
          <w:tcPr>
            <w:tcW w:w="3528" w:type="dxa"/>
          </w:tcPr>
          <w:p>
            <w:pPr>
              <w:pStyle w:val="TableParagraph"/>
              <w:rPr>
                <w:b/>
                <w:sz w:val="22"/>
                <w:u w:val="none"/>
              </w:rPr>
            </w:pPr>
            <w:r>
              <w:rPr>
                <w:b/>
                <w:sz w:val="22"/>
                <w:u w:val="none"/>
              </w:rPr>
              <w:t>7670 (Cont. 2) through 7680</w:t>
            </w:r>
          </w:p>
          <w:p>
            <w:pPr>
              <w:pStyle w:val="TableParagraph"/>
              <w:rPr>
                <w:b/>
                <w:sz w:val="22"/>
                <w:u w:val="none"/>
              </w:rPr>
            </w:pPr>
            <w:r>
              <w:rPr>
                <w:b/>
                <w:sz w:val="22"/>
                <w:u w:val="none"/>
              </w:rPr>
              <w:t>(Cont. 2)</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209" w:right="209"/>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490" w:hRule="exact"/>
        </w:trPr>
        <w:tc>
          <w:tcPr>
            <w:tcW w:w="3528" w:type="dxa"/>
          </w:tcPr>
          <w:p>
            <w:pPr>
              <w:pStyle w:val="TableParagraph"/>
              <w:rPr>
                <w:b/>
                <w:sz w:val="22"/>
                <w:u w:val="none"/>
              </w:rPr>
            </w:pPr>
            <w:r>
              <w:rPr>
                <w:b/>
                <w:sz w:val="22"/>
                <w:u w:val="none"/>
              </w:rPr>
              <w:t>Page 7951</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209" w:right="209"/>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490" w:hRule="exact"/>
        </w:trPr>
        <w:tc>
          <w:tcPr>
            <w:tcW w:w="3528" w:type="dxa"/>
          </w:tcPr>
          <w:p>
            <w:pPr>
              <w:pStyle w:val="TableParagraph"/>
              <w:rPr>
                <w:b/>
                <w:sz w:val="22"/>
                <w:u w:val="none"/>
              </w:rPr>
            </w:pPr>
            <w:r>
              <w:rPr>
                <w:b/>
                <w:sz w:val="22"/>
                <w:u w:val="none"/>
              </w:rPr>
              <w:t>Page 8020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209" w:right="209"/>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8400 Index</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209" w:right="209"/>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730" w:hRule="exact"/>
        </w:trPr>
        <w:tc>
          <w:tcPr>
            <w:tcW w:w="3528" w:type="dxa"/>
          </w:tcPr>
          <w:p>
            <w:pPr>
              <w:pStyle w:val="TableParagraph"/>
              <w:rPr>
                <w:b/>
                <w:sz w:val="22"/>
                <w:u w:val="none"/>
              </w:rPr>
            </w:pPr>
            <w:r>
              <w:rPr>
                <w:b/>
                <w:sz w:val="22"/>
                <w:u w:val="none"/>
              </w:rPr>
              <w:t>Page 8477.32</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209" w:right="210"/>
              <w:jc w:val="center"/>
              <w:rPr>
                <w:b/>
                <w:sz w:val="22"/>
                <w:u w:val="none"/>
              </w:rPr>
            </w:pPr>
            <w:r>
              <w:rPr>
                <w:b/>
                <w:sz w:val="22"/>
                <w:u w:val="none"/>
              </w:rPr>
              <w:t>8477.32 thru 8477,32</w:t>
            </w:r>
          </w:p>
          <w:p>
            <w:pPr>
              <w:pStyle w:val="TableParagraph"/>
              <w:ind w:left="209" w:right="210"/>
              <w:jc w:val="center"/>
              <w:rPr>
                <w:b/>
                <w:sz w:val="22"/>
                <w:u w:val="none"/>
              </w:rPr>
            </w:pPr>
            <w:r>
              <w:rPr>
                <w:b/>
                <w:sz w:val="22"/>
                <w:u w:val="none"/>
              </w:rPr>
              <w:t>Illustration 1</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490" w:hRule="exact"/>
        </w:trPr>
        <w:tc>
          <w:tcPr>
            <w:tcW w:w="3528" w:type="dxa"/>
          </w:tcPr>
          <w:p>
            <w:pPr>
              <w:pStyle w:val="TableParagraph"/>
              <w:rPr>
                <w:b/>
                <w:sz w:val="22"/>
                <w:u w:val="none"/>
              </w:rPr>
            </w:pPr>
            <w:r>
              <w:rPr>
                <w:b/>
                <w:sz w:val="22"/>
                <w:u w:val="none"/>
              </w:rPr>
              <w:t>Page 8740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209" w:right="209"/>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bl>
    <w:sectPr>
      <w:pgSz w:w="12240" w:h="15840"/>
      <w:pgMar w:header="0" w:footer="745" w:top="92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769165pt;width:42.55pt;height:13.2pt;mso-position-horizontal-relative:page;mso-position-vertical-relative:page;z-index:-6592" type="#_x0000_t202" filled="false" stroked="false">
          <v:textbox inset="0,0,0,0">
            <w:txbxContent>
              <w:p>
                <w:pPr>
                  <w:spacing w:before="14"/>
                  <w:ind w:left="20" w:right="0" w:firstLine="0"/>
                  <w:jc w:val="left"/>
                  <w:rPr>
                    <w:b/>
                    <w:sz w:val="20"/>
                  </w:rPr>
                </w:pPr>
                <w:r>
                  <w:rPr>
                    <w:b/>
                    <w:sz w:val="20"/>
                  </w:rPr>
                  <w:t>Rev. 412</w:t>
                </w:r>
              </w:p>
            </w:txbxContent>
          </v:textbox>
          <w10:wrap type="none"/>
        </v:shape>
      </w:pict>
    </w:r>
    <w:r>
      <w:rPr/>
      <w:pict>
        <v:shape style="position:absolute;margin-left:456.519501pt;margin-top:743.769165pt;width:84.45pt;height:13.2pt;mso-position-horizontal-relative:page;mso-position-vertical-relative:page;z-index:-6568" type="#_x0000_t202" filled="false" stroked="false">
          <v:textbox inset="0,0,0,0">
            <w:txbxContent>
              <w:p>
                <w:pPr>
                  <w:spacing w:before="14"/>
                  <w:ind w:left="20" w:right="0" w:firstLine="0"/>
                  <w:jc w:val="left"/>
                  <w:rPr>
                    <w:b/>
                    <w:sz w:val="20"/>
                  </w:rPr>
                </w:pPr>
                <w:r>
                  <w:rPr>
                    <w:b/>
                    <w:sz w:val="20"/>
                  </w:rPr>
                  <w:t>DECEMBER 2010</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2020-07-14T09:49:40Z</dcterms:created>
  <dcterms:modified xsi:type="dcterms:W3CDTF">2020-07-14T09:49:40Z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8.1 for Word</vt:lpwstr>
  </property>
  <property fmtid="{D5CDD505-2E9C-101B-9397-08002B2CF9AE}" pid="4" name="LastSaved">
    <vt:filetime>2020-07-14T00:00:00Z</vt:filetime>
  </property>
</Properties>
</file>