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1982B" w14:textId="77777777" w:rsidR="00E54255" w:rsidRPr="00E54255" w:rsidRDefault="00E54255" w:rsidP="00E54255">
      <w:pPr>
        <w:widowControl/>
        <w:spacing w:after="0"/>
        <w:jc w:val="center"/>
        <w:rPr>
          <w:rFonts w:ascii="Century Gothic" w:eastAsia="Calibri" w:hAnsi="Century Gothic" w:cs="Arial"/>
          <w:snapToGrid/>
          <w:szCs w:val="24"/>
        </w:rPr>
      </w:pPr>
      <w:r w:rsidRPr="00E54255">
        <w:rPr>
          <w:rFonts w:ascii="Century Gothic" w:eastAsia="Calibri" w:hAnsi="Century Gothic" w:cs="Arial"/>
          <w:snapToGrid/>
          <w:szCs w:val="24"/>
        </w:rPr>
        <w:t>APPROVED BY THE CALIFORNIA BUILDING STANDARDS COMMISSION</w:t>
      </w:r>
    </w:p>
    <w:p w14:paraId="6DD78914" w14:textId="77777777" w:rsidR="00E54255" w:rsidRPr="00E54255" w:rsidRDefault="00E54255" w:rsidP="00E54255">
      <w:pPr>
        <w:widowControl/>
        <w:jc w:val="center"/>
        <w:rPr>
          <w:rFonts w:ascii="Century Gothic" w:eastAsia="Calibri" w:hAnsi="Century Gothic" w:cs="Arial"/>
          <w:snapToGrid/>
          <w:szCs w:val="24"/>
        </w:rPr>
      </w:pPr>
      <w:r w:rsidRPr="00E54255">
        <w:rPr>
          <w:rFonts w:ascii="Century Gothic" w:eastAsia="Calibri" w:hAnsi="Century Gothic" w:cs="Arial"/>
          <w:snapToGrid/>
          <w:szCs w:val="24"/>
        </w:rPr>
        <w:t>DECEMBER 17, 2024</w:t>
      </w:r>
    </w:p>
    <w:p w14:paraId="46AE22C5" w14:textId="3A3874BC" w:rsidR="00767766" w:rsidRPr="0046521A" w:rsidRDefault="00B575CE"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D557F1">
        <w:rPr>
          <w:rFonts w:cs="Arial"/>
        </w:rPr>
        <w:t>CALIFORNIA BUILDING STANDARDS COMMISSION</w:t>
      </w:r>
      <w:r w:rsidR="00767766" w:rsidRPr="0046521A">
        <w:rPr>
          <w:rFonts w:cs="Arial"/>
        </w:rPr>
        <w:br/>
        <w:t xml:space="preserve">REGARDING THE </w:t>
      </w:r>
      <w:r w:rsidR="00D557F1">
        <w:rPr>
          <w:rFonts w:cs="Arial"/>
        </w:rPr>
        <w:t>2025 CALIFORNIA MECHANICAL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D557F1">
        <w:rPr>
          <w:rFonts w:cs="Arial"/>
        </w:rPr>
        <w:t>4</w:t>
      </w:r>
      <w:r w:rsidR="001F2A94">
        <w:rPr>
          <w:rFonts w:cs="Arial"/>
        </w:rPr>
        <w:br/>
      </w:r>
      <w:r w:rsidR="00767766" w:rsidRPr="0046521A">
        <w:rPr>
          <w:rFonts w:cs="Arial"/>
        </w:rPr>
        <w:t>(</w:t>
      </w:r>
      <w:r w:rsidR="00D557F1">
        <w:rPr>
          <w:rFonts w:cs="Arial"/>
        </w:rPr>
        <w:t xml:space="preserve">BSC </w:t>
      </w:r>
      <w:r w:rsidR="002A45B6">
        <w:rPr>
          <w:rFonts w:cs="Arial"/>
        </w:rPr>
        <w:t>01</w:t>
      </w:r>
      <w:r w:rsidR="00D557F1">
        <w:rPr>
          <w:rFonts w:cs="Arial"/>
        </w:rPr>
        <w:t>/24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194DD4A" w14:textId="77777777" w:rsidR="00B12076" w:rsidRPr="0046521A" w:rsidRDefault="00B12076" w:rsidP="00B12076">
      <w:pPr>
        <w:pBdr>
          <w:bottom w:val="single" w:sz="4" w:space="1" w:color="auto"/>
        </w:pBdr>
        <w:rPr>
          <w:rFonts w:cs="Arial"/>
        </w:rPr>
      </w:pPr>
    </w:p>
    <w:p w14:paraId="3700352B" w14:textId="050A6409" w:rsidR="002537B1" w:rsidRPr="0046521A" w:rsidRDefault="002B5C8B" w:rsidP="00B834C6">
      <w:pPr>
        <w:pStyle w:val="Heading2"/>
        <w:spacing w:before="0"/>
      </w:pPr>
      <w:r>
        <w:rPr>
          <w:rFonts w:cs="Arial"/>
        </w:rPr>
        <w:t>FINAL</w:t>
      </w:r>
      <w:r w:rsidR="00767766" w:rsidRPr="0046521A">
        <w:t xml:space="preserve"> EXPRESS TERMS</w:t>
      </w:r>
      <w:r w:rsidR="0083127A" w:rsidRPr="0046521A">
        <w:t xml:space="preserve"> </w:t>
      </w:r>
    </w:p>
    <w:p w14:paraId="3C2373DE" w14:textId="37906C25" w:rsidR="00CD71EA" w:rsidRPr="0046521A" w:rsidRDefault="00AA0C1D" w:rsidP="00F63992">
      <w:pPr>
        <w:pStyle w:val="Heading3"/>
        <w:spacing w:before="120"/>
        <w:rPr>
          <w:noProof/>
        </w:rPr>
      </w:pPr>
      <w:r w:rsidRPr="0046521A">
        <w:t>ITEM</w:t>
      </w:r>
      <w:r w:rsidR="00CD71EA" w:rsidRPr="0046521A">
        <w:t xml:space="preserve"> </w:t>
      </w:r>
      <w:r w:rsidR="00D557F1">
        <w:rPr>
          <w:noProof/>
        </w:rPr>
        <w:t>1</w:t>
      </w:r>
      <w:r w:rsidR="00C80CD9" w:rsidRPr="0046521A">
        <w:rPr>
          <w:snapToGrid/>
        </w:rPr>
        <w:br/>
      </w:r>
      <w:r w:rsidR="00CD71EA" w:rsidRPr="0046521A">
        <w:t xml:space="preserve">Chapter </w:t>
      </w:r>
      <w:r w:rsidR="00D557F1">
        <w:rPr>
          <w:noProof/>
        </w:rPr>
        <w:t>1</w:t>
      </w:r>
      <w:r w:rsidR="0069558C" w:rsidRPr="0046521A">
        <w:rPr>
          <w:noProof/>
        </w:rPr>
        <w:t>,</w:t>
      </w:r>
      <w:r w:rsidR="00D557F1">
        <w:rPr>
          <w:noProof/>
        </w:rPr>
        <w:t xml:space="preserve"> </w:t>
      </w:r>
      <w:r w:rsidR="00D557F1" w:rsidRPr="00D557F1">
        <w:rPr>
          <w:i/>
          <w:iCs/>
          <w:noProof/>
        </w:rPr>
        <w:t>Division I</w:t>
      </w:r>
      <w:r w:rsidR="00D557F1">
        <w:rPr>
          <w:noProof/>
        </w:rPr>
        <w:t xml:space="preserve"> </w:t>
      </w:r>
      <w:r w:rsidR="00737FA0">
        <w:rPr>
          <w:noProof/>
        </w:rPr>
        <w:t xml:space="preserve">– </w:t>
      </w:r>
      <w:r w:rsidR="00737FA0" w:rsidRPr="00737FA0">
        <w:rPr>
          <w:i/>
          <w:iCs/>
          <w:noProof/>
        </w:rPr>
        <w:t>California Administration</w:t>
      </w:r>
      <w:r w:rsidR="00737FA0">
        <w:rPr>
          <w:noProof/>
        </w:rPr>
        <w:t xml:space="preserve"> </w:t>
      </w:r>
      <w:r w:rsidR="00D557F1">
        <w:rPr>
          <w:noProof/>
        </w:rPr>
        <w:t>and Division II</w:t>
      </w:r>
      <w:r w:rsidR="0069558C" w:rsidRPr="0046521A">
        <w:rPr>
          <w:noProof/>
        </w:rPr>
        <w:t xml:space="preserve"> </w:t>
      </w:r>
      <w:r w:rsidR="00737FA0">
        <w:rPr>
          <w:noProof/>
        </w:rPr>
        <w:t>- Administration</w:t>
      </w:r>
    </w:p>
    <w:p w14:paraId="1EB3601E" w14:textId="59984367" w:rsidR="00737FA0" w:rsidRDefault="00710900" w:rsidP="00B834C6">
      <w:pPr>
        <w:rPr>
          <w:rFonts w:eastAsia="Times New Roman"/>
        </w:rPr>
      </w:pPr>
      <w:r w:rsidRPr="0098648B">
        <w:rPr>
          <w:rFonts w:eastAsia="Times New Roman"/>
        </w:rPr>
        <w:t xml:space="preserve">BSC proposes to bring forward existing California amendments in </w:t>
      </w:r>
      <w:r w:rsidRPr="0098648B">
        <w:rPr>
          <w:rFonts w:eastAsia="Times New Roman"/>
          <w:i/>
          <w:iCs/>
        </w:rPr>
        <w:t xml:space="preserve">Chapter 1, Division I, </w:t>
      </w:r>
      <w:r>
        <w:rPr>
          <w:rFonts w:eastAsia="Times New Roman"/>
          <w:i/>
          <w:iCs/>
        </w:rPr>
        <w:t xml:space="preserve">Sections 1.1.0 through 1.2.3.2 </w:t>
      </w:r>
      <w:r w:rsidRPr="0098648B">
        <w:rPr>
          <w:rFonts w:eastAsia="Times New Roman"/>
        </w:rPr>
        <w:t xml:space="preserve">from the 2022 California </w:t>
      </w:r>
      <w:r>
        <w:rPr>
          <w:rFonts w:eastAsia="Times New Roman"/>
        </w:rPr>
        <w:t>Mechanical</w:t>
      </w:r>
      <w:r w:rsidRPr="0098648B">
        <w:rPr>
          <w:rFonts w:eastAsia="Times New Roman"/>
        </w:rPr>
        <w:t xml:space="preserve"> Code for adoption into the 2025 edition of the California </w:t>
      </w:r>
      <w:r>
        <w:rPr>
          <w:rFonts w:eastAsia="Times New Roman"/>
        </w:rPr>
        <w:t>Mechanical</w:t>
      </w:r>
      <w:r w:rsidRPr="0098648B">
        <w:rPr>
          <w:rFonts w:eastAsia="Times New Roman"/>
        </w:rPr>
        <w:t xml:space="preserve"> Code (C</w:t>
      </w:r>
      <w:r>
        <w:rPr>
          <w:rFonts w:eastAsia="Times New Roman"/>
        </w:rPr>
        <w:t>M</w:t>
      </w:r>
      <w:r w:rsidRPr="0098648B">
        <w:rPr>
          <w:rFonts w:eastAsia="Times New Roman"/>
        </w:rPr>
        <w:t>C)</w:t>
      </w:r>
      <w:r w:rsidR="00F63992">
        <w:rPr>
          <w:rFonts w:eastAsia="Times New Roman"/>
        </w:rPr>
        <w:t xml:space="preserve"> with modifications addressed in Item 1-1 below</w:t>
      </w:r>
      <w:r w:rsidR="00737FA0">
        <w:rPr>
          <w:rFonts w:eastAsia="Times New Roman"/>
        </w:rPr>
        <w:t>.</w:t>
      </w:r>
    </w:p>
    <w:p w14:paraId="7E323E5E" w14:textId="50A6408F" w:rsidR="00737FA0" w:rsidRDefault="00737FA0" w:rsidP="00737FA0">
      <w:r w:rsidRPr="000A10DC">
        <w:t>BSC proposes to bring</w:t>
      </w:r>
      <w:r>
        <w:t xml:space="preserve"> forward existing California amendment in Chapter 1 Division II Section 104.4.3.1 into the 2025 CMC.</w:t>
      </w:r>
    </w:p>
    <w:p w14:paraId="4E43403D" w14:textId="04625F88" w:rsidR="007B4553" w:rsidRPr="0046521A" w:rsidRDefault="007B4553" w:rsidP="00B834C6">
      <w:pPr>
        <w:pStyle w:val="Heading4"/>
        <w:spacing w:before="0"/>
        <w:rPr>
          <w:noProof/>
        </w:rPr>
      </w:pPr>
      <w:r w:rsidRPr="0046521A">
        <w:t xml:space="preserve">ITEM </w:t>
      </w:r>
      <w:r w:rsidR="00D557F1">
        <w:rPr>
          <w:noProof/>
        </w:rPr>
        <w:t>1-1</w:t>
      </w:r>
      <w:r w:rsidRPr="0046521A">
        <w:rPr>
          <w:snapToGrid/>
        </w:rPr>
        <w:br/>
      </w:r>
      <w:r w:rsidRPr="0046521A">
        <w:t xml:space="preserve">Section </w:t>
      </w:r>
      <w:r w:rsidR="00D557F1" w:rsidRPr="00D557F1">
        <w:rPr>
          <w:i/>
          <w:iCs w:val="0"/>
          <w:noProof/>
        </w:rPr>
        <w:t>1.1.1 Title</w:t>
      </w:r>
    </w:p>
    <w:p w14:paraId="493A8BC1" w14:textId="77777777" w:rsidR="00D557F1" w:rsidRPr="00D557F1" w:rsidRDefault="00D557F1" w:rsidP="00B834C6">
      <w:pPr>
        <w:rPr>
          <w:rFonts w:cs="Arial"/>
          <w:i/>
          <w:szCs w:val="24"/>
        </w:rPr>
      </w:pPr>
      <w:r w:rsidRPr="00D557F1">
        <w:rPr>
          <w:rFonts w:cs="Arial"/>
          <w:b/>
          <w:i/>
          <w:szCs w:val="24"/>
        </w:rPr>
        <w:t>1.1.1 Title.</w:t>
      </w:r>
      <w:r w:rsidRPr="00D557F1">
        <w:rPr>
          <w:rFonts w:cs="Arial"/>
          <w:i/>
          <w:szCs w:val="24"/>
        </w:rPr>
        <w:t xml:space="preserve"> These regulations shall be known as the California Mechanical Code, may be cited as such and will be referred to herein as “this code.”  The California Mechanical Code is Part 4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D557F1">
        <w:rPr>
          <w:rFonts w:cs="Arial"/>
          <w:i/>
          <w:strike/>
          <w:szCs w:val="24"/>
        </w:rPr>
        <w:t>2021</w:t>
      </w:r>
      <w:r w:rsidRPr="00D557F1">
        <w:rPr>
          <w:rFonts w:cs="Arial"/>
          <w:i/>
          <w:szCs w:val="24"/>
        </w:rPr>
        <w:t xml:space="preserve"> </w:t>
      </w:r>
      <w:r w:rsidRPr="00D557F1">
        <w:rPr>
          <w:rFonts w:cs="Arial"/>
          <w:i/>
          <w:szCs w:val="24"/>
          <w:u w:val="single"/>
        </w:rPr>
        <w:t>2024</w:t>
      </w:r>
      <w:r w:rsidRPr="00D557F1">
        <w:rPr>
          <w:rFonts w:cs="Arial"/>
          <w:i/>
          <w:szCs w:val="24"/>
        </w:rPr>
        <w:t xml:space="preserve"> Uniform Mechanical Code of the International Association of Plumbing and Mechanical Officials with necessary California amendments. </w:t>
      </w:r>
    </w:p>
    <w:p w14:paraId="2C1B2CED" w14:textId="77777777" w:rsidR="00005708" w:rsidRPr="0046521A" w:rsidRDefault="00005708" w:rsidP="00B834C6">
      <w:pPr>
        <w:pStyle w:val="Heading4"/>
        <w:spacing w:before="0"/>
        <w:ind w:left="0"/>
      </w:pPr>
      <w:r w:rsidRPr="0046521A">
        <w:lastRenderedPageBreak/>
        <w:t xml:space="preserve">Notation: </w:t>
      </w:r>
    </w:p>
    <w:p w14:paraId="29975944" w14:textId="0549834F" w:rsidR="00005708" w:rsidRPr="0046521A" w:rsidRDefault="00005708" w:rsidP="00B834C6">
      <w:pPr>
        <w:rPr>
          <w:rFonts w:cs="Arial"/>
        </w:rPr>
      </w:pPr>
      <w:r w:rsidRPr="0046521A">
        <w:rPr>
          <w:rFonts w:cs="Arial"/>
        </w:rPr>
        <w:t xml:space="preserve">Authority: </w:t>
      </w:r>
      <w:r w:rsidR="00D557F1" w:rsidRPr="00A64C06">
        <w:rPr>
          <w:rFonts w:eastAsia="Helvetica" w:cs="Arial"/>
          <w:snapToGrid/>
          <w:color w:val="000000"/>
          <w:szCs w:val="24"/>
        </w:rPr>
        <w:t>Health and Safety Code Sections 18928,</w:t>
      </w:r>
      <w:r w:rsidR="00D557F1">
        <w:rPr>
          <w:rFonts w:eastAsia="Helvetica" w:cs="Arial"/>
          <w:snapToGrid/>
          <w:color w:val="000000"/>
          <w:szCs w:val="24"/>
        </w:rPr>
        <w:t xml:space="preserve"> </w:t>
      </w:r>
      <w:r w:rsidR="00456807">
        <w:rPr>
          <w:rFonts w:eastAsia="Helvetica" w:cs="Arial"/>
          <w:snapToGrid/>
          <w:color w:val="000000"/>
          <w:szCs w:val="24"/>
        </w:rPr>
        <w:t xml:space="preserve">18928.1, </w:t>
      </w:r>
      <w:r w:rsidR="00D557F1">
        <w:rPr>
          <w:rFonts w:eastAsia="Helvetica" w:cs="Arial"/>
          <w:snapToGrid/>
          <w:color w:val="000000"/>
          <w:szCs w:val="24"/>
        </w:rPr>
        <w:t>18930</w:t>
      </w:r>
      <w:r w:rsidR="00456807">
        <w:rPr>
          <w:rFonts w:eastAsia="Helvetica" w:cs="Arial"/>
          <w:snapToGrid/>
          <w:color w:val="000000"/>
          <w:szCs w:val="24"/>
        </w:rPr>
        <w:t>.5</w:t>
      </w:r>
      <w:r w:rsidR="00D557F1">
        <w:rPr>
          <w:rFonts w:eastAsia="Helvetica" w:cs="Arial"/>
          <w:snapToGrid/>
          <w:color w:val="000000"/>
          <w:szCs w:val="24"/>
        </w:rPr>
        <w:t>,</w:t>
      </w:r>
      <w:r w:rsidR="00D557F1" w:rsidRPr="00A64C06">
        <w:rPr>
          <w:rFonts w:eastAsia="Helvetica" w:cs="Arial"/>
          <w:snapToGrid/>
          <w:color w:val="000000"/>
          <w:szCs w:val="24"/>
        </w:rPr>
        <w:t xml:space="preserve"> </w:t>
      </w:r>
      <w:r w:rsidR="00D557F1" w:rsidRPr="00A64C06">
        <w:rPr>
          <w:rFonts w:cs="Arial"/>
          <w:bCs/>
          <w:snapToGrid/>
          <w:szCs w:val="24"/>
        </w:rPr>
        <w:t xml:space="preserve">18934.5, </w:t>
      </w:r>
      <w:r w:rsidR="00D557F1" w:rsidRPr="00A64C06">
        <w:rPr>
          <w:rFonts w:eastAsia="Helvetica" w:cs="Arial"/>
          <w:snapToGrid/>
          <w:color w:val="000000"/>
          <w:szCs w:val="24"/>
        </w:rPr>
        <w:t xml:space="preserve">and </w:t>
      </w:r>
      <w:r w:rsidR="00D557F1" w:rsidRPr="00A64C06">
        <w:rPr>
          <w:rFonts w:cs="Arial"/>
          <w:bCs/>
          <w:szCs w:val="24"/>
        </w:rPr>
        <w:t>18949.6</w:t>
      </w:r>
    </w:p>
    <w:p w14:paraId="0D1B49AF" w14:textId="703F1C87" w:rsidR="00767766" w:rsidRDefault="00005708" w:rsidP="00B834C6">
      <w:pPr>
        <w:rPr>
          <w:rFonts w:cs="Arial"/>
          <w:noProof/>
        </w:rPr>
      </w:pPr>
      <w:r w:rsidRPr="0046521A">
        <w:rPr>
          <w:rFonts w:cs="Arial"/>
        </w:rPr>
        <w:t xml:space="preserve">Reference(s): </w:t>
      </w:r>
      <w:r w:rsidR="00D557F1" w:rsidRPr="00A64C06">
        <w:rPr>
          <w:rFonts w:eastAsia="Helvetica" w:cs="Arial"/>
          <w:snapToGrid/>
          <w:color w:val="000000"/>
          <w:szCs w:val="24"/>
        </w:rPr>
        <w:t xml:space="preserve">Health and Safety Code Section </w:t>
      </w:r>
      <w:r w:rsidR="00456807">
        <w:rPr>
          <w:rFonts w:eastAsia="Helvetica" w:cs="Arial"/>
          <w:snapToGrid/>
          <w:color w:val="000000"/>
          <w:szCs w:val="24"/>
        </w:rPr>
        <w:t xml:space="preserve">18928, </w:t>
      </w:r>
      <w:r w:rsidR="00D557F1" w:rsidRPr="00A64C06">
        <w:rPr>
          <w:rFonts w:cs="Arial"/>
          <w:bCs/>
          <w:snapToGrid/>
          <w:szCs w:val="24"/>
        </w:rPr>
        <w:t xml:space="preserve">18928.1, </w:t>
      </w:r>
      <w:r w:rsidR="00D557F1">
        <w:rPr>
          <w:rFonts w:cs="Arial"/>
          <w:bCs/>
          <w:snapToGrid/>
          <w:szCs w:val="24"/>
        </w:rPr>
        <w:t>18930</w:t>
      </w:r>
      <w:r w:rsidR="00456807">
        <w:rPr>
          <w:rFonts w:cs="Arial"/>
          <w:bCs/>
          <w:snapToGrid/>
          <w:szCs w:val="24"/>
        </w:rPr>
        <w:t>.5</w:t>
      </w:r>
      <w:r w:rsidR="00D557F1">
        <w:rPr>
          <w:rFonts w:cs="Arial"/>
          <w:bCs/>
          <w:snapToGrid/>
          <w:szCs w:val="24"/>
        </w:rPr>
        <w:t xml:space="preserve">, </w:t>
      </w:r>
      <w:r w:rsidR="00D557F1" w:rsidRPr="00A64C06">
        <w:rPr>
          <w:rFonts w:cs="Arial"/>
          <w:bCs/>
          <w:szCs w:val="24"/>
        </w:rPr>
        <w:t xml:space="preserve">18934.5, </w:t>
      </w:r>
      <w:r w:rsidR="00D557F1" w:rsidRPr="00A64C06">
        <w:rPr>
          <w:rFonts w:eastAsia="Helvetica" w:cs="Arial"/>
          <w:snapToGrid/>
          <w:color w:val="000000"/>
          <w:szCs w:val="24"/>
        </w:rPr>
        <w:t xml:space="preserve">and </w:t>
      </w:r>
      <w:r w:rsidR="00D557F1" w:rsidRPr="00A64C06">
        <w:rPr>
          <w:rFonts w:cs="Arial"/>
          <w:bCs/>
          <w:szCs w:val="24"/>
        </w:rPr>
        <w:t>18949.6.</w:t>
      </w:r>
    </w:p>
    <w:p w14:paraId="2CFFC4C6" w14:textId="1882292C" w:rsidR="00D557F1" w:rsidRPr="0046521A" w:rsidRDefault="00D557F1" w:rsidP="00281832">
      <w:pPr>
        <w:pStyle w:val="Heading3"/>
        <w:spacing w:before="240"/>
        <w:rPr>
          <w:noProof/>
        </w:rPr>
      </w:pPr>
      <w:r w:rsidRPr="0046521A">
        <w:t xml:space="preserve">ITEM </w:t>
      </w:r>
      <w:r>
        <w:rPr>
          <w:noProof/>
        </w:rPr>
        <w:t>2</w:t>
      </w:r>
      <w:r w:rsidRPr="0046521A">
        <w:rPr>
          <w:snapToGrid/>
        </w:rPr>
        <w:br/>
      </w:r>
      <w:r w:rsidRPr="0046521A">
        <w:t xml:space="preserve">Chapter </w:t>
      </w:r>
      <w:r>
        <w:rPr>
          <w:noProof/>
        </w:rPr>
        <w:t>2</w:t>
      </w:r>
      <w:r w:rsidRPr="0046521A">
        <w:rPr>
          <w:noProof/>
        </w:rPr>
        <w:t>,</w:t>
      </w:r>
      <w:r>
        <w:rPr>
          <w:noProof/>
        </w:rPr>
        <w:t xml:space="preserve"> Definitions</w:t>
      </w:r>
      <w:r w:rsidRPr="0046521A">
        <w:rPr>
          <w:noProof/>
        </w:rPr>
        <w:t xml:space="preserve"> </w:t>
      </w:r>
    </w:p>
    <w:p w14:paraId="6B2C9BF2" w14:textId="727795D6" w:rsidR="00D557F1" w:rsidRDefault="00D557F1" w:rsidP="00B834C6">
      <w:pPr>
        <w:rPr>
          <w:rFonts w:cs="Arial"/>
          <w:noProof/>
        </w:rPr>
      </w:pPr>
      <w:r w:rsidRPr="00A64C06">
        <w:rPr>
          <w:rFonts w:cs="Arial"/>
          <w:szCs w:val="24"/>
        </w:rPr>
        <w:t xml:space="preserve">BSC proposes to adopt Chapter 2 from the 2024 UMC and carry forward existing amendment </w:t>
      </w:r>
      <w:r w:rsidR="00FF4255">
        <w:rPr>
          <w:rFonts w:cs="Arial"/>
          <w:szCs w:val="24"/>
        </w:rPr>
        <w:t xml:space="preserve">in Section 209 </w:t>
      </w:r>
      <w:r w:rsidRPr="00A64C06">
        <w:rPr>
          <w:rFonts w:cs="Arial"/>
          <w:szCs w:val="24"/>
        </w:rPr>
        <w:t>without change from the 2022 CMC into the 2025 CMC.</w:t>
      </w:r>
    </w:p>
    <w:p w14:paraId="63A766AC" w14:textId="77777777" w:rsidR="00D557F1" w:rsidRPr="0046521A" w:rsidRDefault="00D557F1" w:rsidP="00B834C6">
      <w:pPr>
        <w:pStyle w:val="Heading4"/>
        <w:spacing w:before="0"/>
        <w:ind w:left="0"/>
      </w:pPr>
      <w:r w:rsidRPr="0046521A">
        <w:t xml:space="preserve">Notation: </w:t>
      </w:r>
    </w:p>
    <w:p w14:paraId="281AAEA0" w14:textId="4036550A" w:rsidR="00D557F1" w:rsidRPr="0046521A" w:rsidRDefault="00D557F1" w:rsidP="00B834C6">
      <w:pPr>
        <w:rPr>
          <w:rFonts w:cs="Arial"/>
        </w:rPr>
      </w:pPr>
      <w:r w:rsidRPr="0046521A">
        <w:rPr>
          <w:rFonts w:cs="Arial"/>
        </w:rPr>
        <w:t xml:space="preserve">Authority: </w:t>
      </w:r>
      <w:r w:rsidRPr="00A64C06">
        <w:rPr>
          <w:rFonts w:cs="Arial"/>
          <w:szCs w:val="24"/>
        </w:rPr>
        <w:t>Health &amp; Safety Code Sections 18928, 18928.1</w:t>
      </w:r>
      <w:r>
        <w:rPr>
          <w:rFonts w:cs="Arial"/>
          <w:szCs w:val="24"/>
        </w:rPr>
        <w:t>, 18930</w:t>
      </w:r>
      <w:r w:rsidR="00456807">
        <w:rPr>
          <w:rFonts w:cs="Arial"/>
          <w:szCs w:val="24"/>
        </w:rPr>
        <w:t>.5,</w:t>
      </w:r>
      <w:r>
        <w:rPr>
          <w:rFonts w:cs="Arial"/>
          <w:szCs w:val="24"/>
        </w:rPr>
        <w:t xml:space="preserve"> </w:t>
      </w:r>
      <w:r w:rsidRPr="00A64C06">
        <w:rPr>
          <w:rFonts w:cs="Arial"/>
          <w:szCs w:val="24"/>
        </w:rPr>
        <w:t>18934.5</w:t>
      </w:r>
      <w:r w:rsidR="00456807">
        <w:rPr>
          <w:rFonts w:cs="Arial"/>
          <w:szCs w:val="24"/>
        </w:rPr>
        <w:t>, and 18949.6</w:t>
      </w:r>
    </w:p>
    <w:p w14:paraId="3E412BB4" w14:textId="7F692CFB" w:rsidR="00456807" w:rsidRPr="0046521A" w:rsidRDefault="00D557F1" w:rsidP="00B834C6">
      <w:pPr>
        <w:rPr>
          <w:rFonts w:cs="Arial"/>
        </w:rPr>
      </w:pPr>
      <w:r w:rsidRPr="0046521A">
        <w:rPr>
          <w:rFonts w:cs="Arial"/>
        </w:rPr>
        <w:t xml:space="preserve">Reference(s): </w:t>
      </w:r>
      <w:r w:rsidRPr="00A64C06">
        <w:rPr>
          <w:rFonts w:cs="Arial"/>
          <w:szCs w:val="24"/>
        </w:rPr>
        <w:t>Health &amp; Safety Code Sections 18928, 18928.1</w:t>
      </w:r>
      <w:r w:rsidR="00456807">
        <w:rPr>
          <w:rFonts w:cs="Arial"/>
          <w:szCs w:val="24"/>
        </w:rPr>
        <w:t>, 18930.5,</w:t>
      </w:r>
      <w:r w:rsidRPr="00A64C06">
        <w:rPr>
          <w:rFonts w:cs="Arial"/>
          <w:szCs w:val="24"/>
        </w:rPr>
        <w:t xml:space="preserve"> 18934.5</w:t>
      </w:r>
      <w:r w:rsidR="00456807">
        <w:rPr>
          <w:rFonts w:cs="Arial"/>
          <w:szCs w:val="24"/>
        </w:rPr>
        <w:t>, and 18949.6</w:t>
      </w:r>
    </w:p>
    <w:p w14:paraId="6D815A9A" w14:textId="5A62C924" w:rsidR="00D557F1" w:rsidRPr="0046521A" w:rsidRDefault="00D557F1" w:rsidP="00281832">
      <w:pPr>
        <w:pStyle w:val="Heading3"/>
        <w:spacing w:before="240"/>
        <w:rPr>
          <w:noProof/>
        </w:rPr>
      </w:pPr>
      <w:r w:rsidRPr="0046521A">
        <w:t xml:space="preserve">ITEM </w:t>
      </w:r>
      <w:r>
        <w:rPr>
          <w:noProof/>
        </w:rPr>
        <w:t>3</w:t>
      </w:r>
      <w:r w:rsidRPr="0046521A">
        <w:rPr>
          <w:snapToGrid/>
        </w:rPr>
        <w:br/>
      </w:r>
      <w:r w:rsidRPr="0046521A">
        <w:t xml:space="preserve">Chapter </w:t>
      </w:r>
      <w:r>
        <w:rPr>
          <w:noProof/>
        </w:rPr>
        <w:t>3</w:t>
      </w:r>
      <w:r w:rsidRPr="0046521A">
        <w:rPr>
          <w:noProof/>
        </w:rPr>
        <w:t>,</w:t>
      </w:r>
      <w:r>
        <w:rPr>
          <w:noProof/>
        </w:rPr>
        <w:t xml:space="preserve"> General Regulations</w:t>
      </w:r>
      <w:r w:rsidRPr="0046521A">
        <w:rPr>
          <w:noProof/>
        </w:rPr>
        <w:t xml:space="preserve"> </w:t>
      </w:r>
    </w:p>
    <w:p w14:paraId="6139702F" w14:textId="77777777" w:rsidR="00D557F1" w:rsidRPr="00D557F1" w:rsidRDefault="00D557F1" w:rsidP="00B834C6">
      <w:pPr>
        <w:rPr>
          <w:rFonts w:eastAsia="Times New Roman" w:cs="Arial"/>
          <w:szCs w:val="24"/>
        </w:rPr>
      </w:pPr>
      <w:r w:rsidRPr="00D557F1">
        <w:rPr>
          <w:rFonts w:eastAsia="Times New Roman" w:cs="Arial"/>
          <w:szCs w:val="24"/>
        </w:rPr>
        <w:t>BSC proposes to adopt Chapter 3 of the 2024 UMC into the 2025 CMC without amendment.</w:t>
      </w:r>
    </w:p>
    <w:p w14:paraId="00B08AA7" w14:textId="77777777" w:rsidR="00D557F1" w:rsidRPr="0046521A" w:rsidRDefault="00D557F1" w:rsidP="00B834C6">
      <w:pPr>
        <w:pStyle w:val="Heading4"/>
        <w:spacing w:before="0"/>
        <w:ind w:left="0"/>
      </w:pPr>
      <w:r w:rsidRPr="0046521A">
        <w:t xml:space="preserve">Notation: </w:t>
      </w:r>
    </w:p>
    <w:p w14:paraId="432E1693" w14:textId="7202D25B" w:rsidR="00456807" w:rsidRPr="0046521A" w:rsidRDefault="00D557F1" w:rsidP="00B834C6">
      <w:pPr>
        <w:rPr>
          <w:rFonts w:cs="Arial"/>
        </w:rPr>
      </w:pPr>
      <w:r w:rsidRPr="0046521A">
        <w:rPr>
          <w:rFonts w:cs="Arial"/>
        </w:rPr>
        <w:t xml:space="preserve">Authority: </w:t>
      </w:r>
      <w:r w:rsidRPr="00A64C06">
        <w:rPr>
          <w:rFonts w:cs="Arial"/>
          <w:szCs w:val="24"/>
        </w:rPr>
        <w:t>Health &amp; Safety Code Sections 18928, 18928.1</w:t>
      </w:r>
      <w:r>
        <w:rPr>
          <w:rFonts w:cs="Arial"/>
          <w:szCs w:val="24"/>
        </w:rPr>
        <w:t>, 18930</w:t>
      </w:r>
      <w:r w:rsidR="00456807">
        <w:rPr>
          <w:rFonts w:cs="Arial"/>
          <w:szCs w:val="24"/>
        </w:rPr>
        <w:t>.5,</w:t>
      </w:r>
      <w:r w:rsidRPr="00A64C06">
        <w:rPr>
          <w:rFonts w:cs="Arial"/>
          <w:szCs w:val="24"/>
        </w:rPr>
        <w:t xml:space="preserve"> 18934.5</w:t>
      </w:r>
      <w:r w:rsidR="00456807">
        <w:rPr>
          <w:rFonts w:cs="Arial"/>
          <w:szCs w:val="24"/>
        </w:rPr>
        <w:t xml:space="preserve"> and 18949.6</w:t>
      </w:r>
    </w:p>
    <w:p w14:paraId="591846C5" w14:textId="2E931C89" w:rsidR="00456807" w:rsidRPr="0046521A" w:rsidRDefault="00D557F1" w:rsidP="00B834C6">
      <w:pPr>
        <w:rPr>
          <w:rFonts w:cs="Arial"/>
        </w:rPr>
      </w:pPr>
      <w:r w:rsidRPr="0046521A">
        <w:rPr>
          <w:rFonts w:cs="Arial"/>
        </w:rPr>
        <w:t xml:space="preserve">Reference(s): </w:t>
      </w:r>
      <w:r w:rsidRPr="00A64C06">
        <w:rPr>
          <w:rFonts w:cs="Arial"/>
          <w:szCs w:val="24"/>
        </w:rPr>
        <w:t xml:space="preserve">Health &amp; Safety Code Sections 18928, 18928.1 </w:t>
      </w:r>
      <w:r w:rsidR="00456807">
        <w:rPr>
          <w:rFonts w:cs="Arial"/>
          <w:szCs w:val="24"/>
        </w:rPr>
        <w:t>18930.5,</w:t>
      </w:r>
      <w:r w:rsidRPr="00A64C06">
        <w:rPr>
          <w:rFonts w:cs="Arial"/>
          <w:szCs w:val="24"/>
        </w:rPr>
        <w:t xml:space="preserve"> 18934.5</w:t>
      </w:r>
      <w:r w:rsidR="00456807">
        <w:rPr>
          <w:rFonts w:cs="Arial"/>
          <w:szCs w:val="24"/>
        </w:rPr>
        <w:t xml:space="preserve"> and 18949.6</w:t>
      </w:r>
    </w:p>
    <w:p w14:paraId="2364B225" w14:textId="3BAC2816" w:rsidR="00D557F1" w:rsidRPr="0046521A" w:rsidRDefault="00D557F1" w:rsidP="00281832">
      <w:pPr>
        <w:pStyle w:val="Heading3"/>
        <w:spacing w:before="240"/>
        <w:rPr>
          <w:noProof/>
        </w:rPr>
      </w:pPr>
      <w:r w:rsidRPr="0046521A">
        <w:t xml:space="preserve">ITEM </w:t>
      </w:r>
      <w:r>
        <w:rPr>
          <w:noProof/>
        </w:rPr>
        <w:t>4</w:t>
      </w:r>
      <w:r w:rsidRPr="0046521A">
        <w:rPr>
          <w:snapToGrid/>
        </w:rPr>
        <w:br/>
      </w:r>
      <w:r w:rsidRPr="0046521A">
        <w:t xml:space="preserve">Chapter </w:t>
      </w:r>
      <w:r>
        <w:rPr>
          <w:noProof/>
        </w:rPr>
        <w:t>4</w:t>
      </w:r>
      <w:r w:rsidRPr="0046521A">
        <w:rPr>
          <w:noProof/>
        </w:rPr>
        <w:t>,</w:t>
      </w:r>
      <w:r>
        <w:rPr>
          <w:noProof/>
        </w:rPr>
        <w:t xml:space="preserve"> Ventilation Air</w:t>
      </w:r>
      <w:r w:rsidRPr="0046521A">
        <w:rPr>
          <w:noProof/>
        </w:rPr>
        <w:t xml:space="preserve"> </w:t>
      </w:r>
    </w:p>
    <w:p w14:paraId="263ADDAA" w14:textId="3FB5611D" w:rsidR="00D557F1" w:rsidRPr="00D557F1" w:rsidRDefault="00D557F1" w:rsidP="00B834C6">
      <w:pPr>
        <w:rPr>
          <w:rFonts w:eastAsia="Times New Roman" w:cs="Arial"/>
          <w:szCs w:val="24"/>
        </w:rPr>
      </w:pPr>
      <w:r w:rsidRPr="00D557F1">
        <w:rPr>
          <w:rFonts w:eastAsia="Times New Roman" w:cs="Arial"/>
          <w:szCs w:val="24"/>
        </w:rPr>
        <w:t>BSC proposes to adopt Chapter 4 of the 2024 UMC and carry forward existing amendment</w:t>
      </w:r>
      <w:r w:rsidR="00513E2D">
        <w:rPr>
          <w:rFonts w:eastAsia="Times New Roman" w:cs="Arial"/>
          <w:szCs w:val="24"/>
        </w:rPr>
        <w:t xml:space="preserve"> in Table 402.1</w:t>
      </w:r>
      <w:r w:rsidR="00710900">
        <w:rPr>
          <w:rFonts w:eastAsia="Times New Roman" w:cs="Arial"/>
          <w:szCs w:val="24"/>
        </w:rPr>
        <w:t xml:space="preserve"> </w:t>
      </w:r>
      <w:bookmarkStart w:id="0" w:name="_Hlk160546285"/>
      <w:r w:rsidR="00F63992">
        <w:rPr>
          <w:rFonts w:eastAsia="Times New Roman" w:cs="Arial"/>
          <w:szCs w:val="24"/>
        </w:rPr>
        <w:t xml:space="preserve">and former Section 401.2 </w:t>
      </w:r>
      <w:bookmarkEnd w:id="0"/>
      <w:r w:rsidR="00710900">
        <w:rPr>
          <w:rFonts w:eastAsia="Times New Roman" w:cs="Arial"/>
          <w:szCs w:val="24"/>
        </w:rPr>
        <w:t xml:space="preserve">from the 2022 </w:t>
      </w:r>
      <w:r w:rsidR="00FC05C1">
        <w:rPr>
          <w:rFonts w:eastAsia="Times New Roman" w:cs="Arial"/>
          <w:szCs w:val="24"/>
        </w:rPr>
        <w:t xml:space="preserve">CMC </w:t>
      </w:r>
      <w:r w:rsidR="00710900">
        <w:rPr>
          <w:rFonts w:eastAsia="Times New Roman" w:cs="Arial"/>
          <w:szCs w:val="24"/>
        </w:rPr>
        <w:t>into the 2025 CMC, with m</w:t>
      </w:r>
      <w:r w:rsidRPr="00D557F1">
        <w:rPr>
          <w:rFonts w:eastAsia="Times New Roman" w:cs="Arial"/>
          <w:szCs w:val="24"/>
        </w:rPr>
        <w:t xml:space="preserve">inor modification to the numbering, </w:t>
      </w:r>
      <w:r w:rsidR="00513E2D">
        <w:rPr>
          <w:rFonts w:eastAsia="Times New Roman" w:cs="Arial"/>
          <w:szCs w:val="24"/>
        </w:rPr>
        <w:t xml:space="preserve">as shown below: </w:t>
      </w:r>
    </w:p>
    <w:p w14:paraId="25505883" w14:textId="5DD11866" w:rsidR="00D557F1" w:rsidRPr="0046521A" w:rsidRDefault="00D557F1" w:rsidP="00B834C6">
      <w:pPr>
        <w:pStyle w:val="Heading4"/>
        <w:spacing w:before="0"/>
        <w:rPr>
          <w:noProof/>
        </w:rPr>
      </w:pPr>
      <w:r w:rsidRPr="0046521A">
        <w:t xml:space="preserve">ITEM </w:t>
      </w:r>
      <w:r w:rsidR="002F6ED5">
        <w:rPr>
          <w:noProof/>
        </w:rPr>
        <w:t>4-1</w:t>
      </w:r>
      <w:r w:rsidRPr="0046521A">
        <w:rPr>
          <w:snapToGrid/>
        </w:rPr>
        <w:br/>
      </w:r>
      <w:r w:rsidRPr="0046521A">
        <w:t>Section</w:t>
      </w:r>
      <w:r w:rsidR="002F6ED5">
        <w:t>s</w:t>
      </w:r>
      <w:r w:rsidRPr="0046521A">
        <w:t xml:space="preserve"> </w:t>
      </w:r>
      <w:r w:rsidR="002F6ED5" w:rsidRPr="002F6ED5">
        <w:rPr>
          <w:i/>
          <w:iCs w:val="0"/>
          <w:noProof/>
        </w:rPr>
        <w:t xml:space="preserve">401.3 Filters </w:t>
      </w:r>
      <w:r w:rsidR="002F6ED5" w:rsidRPr="002F6ED5">
        <w:rPr>
          <w:b w:val="0"/>
          <w:bCs/>
          <w:i/>
          <w:iCs w:val="0"/>
          <w:noProof/>
        </w:rPr>
        <w:t>and</w:t>
      </w:r>
      <w:r w:rsidR="002F6ED5" w:rsidRPr="002F6ED5">
        <w:rPr>
          <w:i/>
          <w:iCs w:val="0"/>
          <w:noProof/>
        </w:rPr>
        <w:t xml:space="preserve"> 401.3.1 Labeling</w:t>
      </w:r>
    </w:p>
    <w:p w14:paraId="567D5AB7" w14:textId="6E776D1E" w:rsidR="002F6ED5" w:rsidRPr="002F6ED5" w:rsidRDefault="002F6ED5" w:rsidP="00B834C6">
      <w:pPr>
        <w:rPr>
          <w:rFonts w:cs="Arial"/>
          <w:i/>
          <w:iCs/>
          <w:snapToGrid/>
          <w:szCs w:val="24"/>
        </w:rPr>
      </w:pPr>
      <w:r w:rsidRPr="002F6ED5">
        <w:rPr>
          <w:rFonts w:eastAsia="Times New Roman" w:cs="Arial"/>
          <w:b/>
          <w:bCs/>
          <w:i/>
          <w:iCs/>
          <w:strike/>
          <w:snapToGrid/>
          <w:szCs w:val="24"/>
        </w:rPr>
        <w:t>401.2</w:t>
      </w:r>
      <w:r w:rsidRPr="002F6ED5">
        <w:rPr>
          <w:rFonts w:eastAsia="Times New Roman" w:cs="Arial"/>
          <w:b/>
          <w:bCs/>
          <w:i/>
          <w:iCs/>
          <w:snapToGrid/>
          <w:szCs w:val="24"/>
        </w:rPr>
        <w:t xml:space="preserve"> </w:t>
      </w:r>
      <w:r w:rsidRPr="002F6ED5">
        <w:rPr>
          <w:rFonts w:eastAsia="Times New Roman" w:cs="Arial"/>
          <w:b/>
          <w:bCs/>
          <w:i/>
          <w:iCs/>
          <w:snapToGrid/>
          <w:szCs w:val="24"/>
          <w:u w:val="single"/>
        </w:rPr>
        <w:t>401.3</w:t>
      </w:r>
      <w:r w:rsidRPr="002F6ED5">
        <w:rPr>
          <w:rFonts w:eastAsia="Times New Roman" w:cs="Arial"/>
          <w:b/>
          <w:bCs/>
          <w:i/>
          <w:iCs/>
          <w:snapToGrid/>
          <w:szCs w:val="24"/>
        </w:rPr>
        <w:t xml:space="preserve"> Filters. [BSC-CG], [DSA-SS &amp; DSA-SS/CC] </w:t>
      </w:r>
      <w:r w:rsidR="00F63992">
        <w:rPr>
          <w:rFonts w:cs="Arial"/>
          <w:i/>
          <w:iCs/>
          <w:snapToGrid/>
          <w:szCs w:val="24"/>
        </w:rPr>
        <w:t>…</w:t>
      </w:r>
    </w:p>
    <w:p w14:paraId="220E12B2" w14:textId="30C925E7" w:rsidR="002F6ED5" w:rsidRPr="002F6ED5" w:rsidRDefault="002F6ED5" w:rsidP="00B834C6">
      <w:pPr>
        <w:rPr>
          <w:rFonts w:eastAsia="Times New Roman" w:cs="Arial"/>
          <w:i/>
          <w:iCs/>
          <w:snapToGrid/>
          <w:szCs w:val="24"/>
        </w:rPr>
      </w:pPr>
      <w:r w:rsidRPr="002F6ED5">
        <w:rPr>
          <w:rFonts w:cs="Arial"/>
          <w:i/>
          <w:iCs/>
          <w:snapToGrid/>
          <w:szCs w:val="24"/>
        </w:rPr>
        <w:tab/>
      </w:r>
      <w:r w:rsidRPr="002F6ED5">
        <w:rPr>
          <w:rFonts w:eastAsia="Times New Roman" w:cs="Arial"/>
          <w:b/>
          <w:bCs/>
          <w:i/>
          <w:strike/>
          <w:snapToGrid/>
          <w:spacing w:val="-10"/>
          <w:w w:val="110"/>
          <w:szCs w:val="24"/>
        </w:rPr>
        <w:t>401.2.1</w:t>
      </w:r>
      <w:r w:rsidRPr="002F6ED5">
        <w:rPr>
          <w:rFonts w:eastAsia="Times New Roman" w:cs="Arial"/>
          <w:b/>
          <w:bCs/>
          <w:i/>
          <w:snapToGrid/>
          <w:spacing w:val="-10"/>
          <w:w w:val="110"/>
          <w:szCs w:val="24"/>
        </w:rPr>
        <w:t xml:space="preserve"> </w:t>
      </w:r>
      <w:r w:rsidRPr="002F6ED5">
        <w:rPr>
          <w:rFonts w:eastAsia="Times New Roman" w:cs="Arial"/>
          <w:b/>
          <w:bCs/>
          <w:i/>
          <w:snapToGrid/>
          <w:spacing w:val="-10"/>
          <w:w w:val="110"/>
          <w:szCs w:val="24"/>
          <w:u w:val="single"/>
        </w:rPr>
        <w:t>401.3.1</w:t>
      </w:r>
      <w:r w:rsidRPr="002F6ED5">
        <w:rPr>
          <w:rFonts w:eastAsia="Times New Roman" w:cs="Arial"/>
          <w:b/>
          <w:bCs/>
          <w:i/>
          <w:snapToGrid/>
          <w:spacing w:val="-10"/>
          <w:w w:val="110"/>
          <w:szCs w:val="24"/>
        </w:rPr>
        <w:t xml:space="preserve"> Labeling. </w:t>
      </w:r>
      <w:r w:rsidR="00F63992">
        <w:rPr>
          <w:rFonts w:eastAsia="Times New Roman" w:cs="Arial"/>
          <w:i/>
          <w:iCs/>
          <w:snapToGrid/>
          <w:szCs w:val="24"/>
        </w:rPr>
        <w:t>…</w:t>
      </w:r>
    </w:p>
    <w:p w14:paraId="09FD39E2" w14:textId="77777777" w:rsidR="00D557F1" w:rsidRPr="0046521A" w:rsidRDefault="00D557F1" w:rsidP="00B834C6">
      <w:pPr>
        <w:pStyle w:val="Heading4"/>
        <w:spacing w:before="0"/>
        <w:ind w:left="0"/>
      </w:pPr>
      <w:r w:rsidRPr="0046521A">
        <w:t xml:space="preserve">Notation: </w:t>
      </w:r>
    </w:p>
    <w:p w14:paraId="52A243BB" w14:textId="53820A05" w:rsidR="00D557F1" w:rsidRPr="0046521A" w:rsidRDefault="00D557F1" w:rsidP="00B834C6">
      <w:pPr>
        <w:rPr>
          <w:rFonts w:cs="Arial"/>
        </w:rPr>
      </w:pPr>
      <w:r w:rsidRPr="0046521A">
        <w:rPr>
          <w:rFonts w:cs="Arial"/>
        </w:rPr>
        <w:t xml:space="preserve">Authority: </w:t>
      </w:r>
      <w:r w:rsidR="002F6ED5" w:rsidRPr="00A64C06">
        <w:rPr>
          <w:rFonts w:cs="Arial"/>
          <w:szCs w:val="24"/>
        </w:rPr>
        <w:t xml:space="preserve">Health &amp; Safety Code Sections 18928, 18928.1, </w:t>
      </w:r>
      <w:r w:rsidR="002F6ED5">
        <w:rPr>
          <w:rFonts w:cs="Arial"/>
          <w:szCs w:val="24"/>
        </w:rPr>
        <w:t xml:space="preserve">18930.5, </w:t>
      </w:r>
      <w:r w:rsidR="002F6ED5" w:rsidRPr="00A64C06">
        <w:rPr>
          <w:rFonts w:cs="Arial"/>
          <w:szCs w:val="24"/>
        </w:rPr>
        <w:t>18934.5</w:t>
      </w:r>
      <w:r w:rsidR="00456807">
        <w:rPr>
          <w:rFonts w:cs="Arial"/>
          <w:szCs w:val="24"/>
        </w:rPr>
        <w:t>,</w:t>
      </w:r>
      <w:r w:rsidR="002F6ED5" w:rsidRPr="00A64C06">
        <w:rPr>
          <w:rFonts w:cs="Arial"/>
          <w:szCs w:val="24"/>
        </w:rPr>
        <w:t xml:space="preserve"> 18940.5</w:t>
      </w:r>
      <w:r w:rsidR="00456807">
        <w:rPr>
          <w:rFonts w:cs="Arial"/>
          <w:szCs w:val="24"/>
        </w:rPr>
        <w:t xml:space="preserve"> and 18949.6</w:t>
      </w:r>
    </w:p>
    <w:p w14:paraId="56B9F7EA" w14:textId="441800A8" w:rsidR="002F6ED5" w:rsidRDefault="00D557F1" w:rsidP="00B834C6">
      <w:pPr>
        <w:rPr>
          <w:rFonts w:cs="Arial"/>
          <w:szCs w:val="24"/>
        </w:rPr>
      </w:pPr>
      <w:r w:rsidRPr="0046521A">
        <w:rPr>
          <w:rFonts w:cs="Arial"/>
        </w:rPr>
        <w:t xml:space="preserve">Reference(s): </w:t>
      </w:r>
      <w:r w:rsidR="002F6ED5" w:rsidRPr="002F6ED5">
        <w:rPr>
          <w:rFonts w:cs="Arial"/>
          <w:szCs w:val="24"/>
        </w:rPr>
        <w:t>Health &amp; Safety Code Sections 18928, 18928.1, 18930.5, 18934.5</w:t>
      </w:r>
      <w:r w:rsidR="00456807">
        <w:rPr>
          <w:rFonts w:cs="Arial"/>
          <w:szCs w:val="24"/>
        </w:rPr>
        <w:t>,</w:t>
      </w:r>
      <w:r w:rsidR="002F6ED5" w:rsidRPr="002F6ED5">
        <w:rPr>
          <w:rFonts w:cs="Arial"/>
          <w:szCs w:val="24"/>
        </w:rPr>
        <w:t xml:space="preserve"> 18940.5</w:t>
      </w:r>
      <w:r w:rsidR="00456807">
        <w:rPr>
          <w:rFonts w:cs="Arial"/>
          <w:szCs w:val="24"/>
        </w:rPr>
        <w:t xml:space="preserve"> and 18949.6</w:t>
      </w:r>
    </w:p>
    <w:p w14:paraId="619AD436" w14:textId="2665A5F0" w:rsidR="00202062" w:rsidRDefault="00202062" w:rsidP="00281832">
      <w:pPr>
        <w:pStyle w:val="Heading3"/>
        <w:spacing w:before="240"/>
        <w:rPr>
          <w:noProof/>
        </w:rPr>
      </w:pPr>
      <w:r w:rsidRPr="0046521A">
        <w:lastRenderedPageBreak/>
        <w:t xml:space="preserve">ITEM </w:t>
      </w:r>
      <w:r>
        <w:rPr>
          <w:noProof/>
        </w:rPr>
        <w:t>5</w:t>
      </w:r>
      <w:r>
        <w:rPr>
          <w:noProof/>
        </w:rPr>
        <w:br/>
        <w:t xml:space="preserve">Chapter 5 Exhaust Systems </w:t>
      </w:r>
    </w:p>
    <w:p w14:paraId="176837B4" w14:textId="477B3C30" w:rsidR="00202062" w:rsidRDefault="00202062" w:rsidP="00B834C6">
      <w:pPr>
        <w:rPr>
          <w:rFonts w:eastAsia="Times New Roman" w:cs="Arial"/>
          <w:szCs w:val="24"/>
        </w:rPr>
      </w:pPr>
      <w:r w:rsidRPr="00D557F1">
        <w:rPr>
          <w:rFonts w:eastAsia="Times New Roman" w:cs="Arial"/>
          <w:szCs w:val="24"/>
        </w:rPr>
        <w:t xml:space="preserve">BSC proposes to adopt Chapter </w:t>
      </w:r>
      <w:r>
        <w:rPr>
          <w:rFonts w:eastAsia="Times New Roman" w:cs="Arial"/>
          <w:szCs w:val="24"/>
        </w:rPr>
        <w:t>5</w:t>
      </w:r>
      <w:r w:rsidRPr="00D557F1">
        <w:rPr>
          <w:rFonts w:eastAsia="Times New Roman" w:cs="Arial"/>
          <w:szCs w:val="24"/>
        </w:rPr>
        <w:t xml:space="preserve"> of the 2024 UMC</w:t>
      </w:r>
      <w:bookmarkStart w:id="1" w:name="_Hlk150336091"/>
      <w:r w:rsidRPr="00D557F1">
        <w:rPr>
          <w:rFonts w:eastAsia="Times New Roman" w:cs="Arial"/>
          <w:szCs w:val="24"/>
        </w:rPr>
        <w:t xml:space="preserve"> and carry forward existing amendment</w:t>
      </w:r>
      <w:r>
        <w:rPr>
          <w:rFonts w:eastAsia="Times New Roman" w:cs="Arial"/>
          <w:szCs w:val="24"/>
        </w:rPr>
        <w:t xml:space="preserve"> in Section 511.1.6 from the 2022 </w:t>
      </w:r>
      <w:r w:rsidR="00FC05C1">
        <w:rPr>
          <w:rFonts w:eastAsia="Times New Roman" w:cs="Arial"/>
          <w:szCs w:val="24"/>
        </w:rPr>
        <w:t xml:space="preserve">CMC </w:t>
      </w:r>
      <w:r>
        <w:rPr>
          <w:rFonts w:eastAsia="Times New Roman" w:cs="Arial"/>
          <w:szCs w:val="24"/>
        </w:rPr>
        <w:t>into the 2025 CMC.</w:t>
      </w:r>
      <w:bookmarkEnd w:id="1"/>
    </w:p>
    <w:p w14:paraId="3F08AAA1" w14:textId="77777777" w:rsidR="00202062" w:rsidRPr="0046521A" w:rsidRDefault="00202062" w:rsidP="00B834C6">
      <w:pPr>
        <w:pStyle w:val="Heading4"/>
        <w:spacing w:before="0"/>
        <w:ind w:left="0"/>
      </w:pPr>
      <w:r w:rsidRPr="0046521A">
        <w:t xml:space="preserve">Notation: </w:t>
      </w:r>
    </w:p>
    <w:p w14:paraId="4A86B79B" w14:textId="13239A90" w:rsidR="00202062" w:rsidRPr="0046521A" w:rsidRDefault="00202062" w:rsidP="00B834C6">
      <w:pPr>
        <w:rPr>
          <w:rFonts w:cs="Arial"/>
        </w:rPr>
      </w:pPr>
      <w:r w:rsidRPr="0046521A">
        <w:rPr>
          <w:rFonts w:cs="Arial"/>
        </w:rPr>
        <w:t xml:space="preserve">Authority: </w:t>
      </w:r>
      <w:r w:rsidRPr="00A64C06">
        <w:rPr>
          <w:rFonts w:cs="Arial"/>
          <w:szCs w:val="24"/>
        </w:rPr>
        <w:t xml:space="preserve">Health &amp; Safety Code Sections 18928, 18928.1, </w:t>
      </w:r>
      <w:r>
        <w:rPr>
          <w:rFonts w:cs="Arial"/>
          <w:szCs w:val="24"/>
        </w:rPr>
        <w:t xml:space="preserve">18930.5, </w:t>
      </w:r>
      <w:r w:rsidRPr="00A64C06">
        <w:rPr>
          <w:rFonts w:cs="Arial"/>
          <w:szCs w:val="24"/>
        </w:rPr>
        <w:t xml:space="preserve">18934.5 </w:t>
      </w:r>
      <w:r>
        <w:rPr>
          <w:rFonts w:cs="Arial"/>
          <w:szCs w:val="24"/>
        </w:rPr>
        <w:t>and 18949.6</w:t>
      </w:r>
    </w:p>
    <w:p w14:paraId="2D3E9C56" w14:textId="78D50E00" w:rsidR="00202062" w:rsidRDefault="00202062" w:rsidP="00B834C6">
      <w:pPr>
        <w:rPr>
          <w:rFonts w:cs="Arial"/>
          <w:szCs w:val="24"/>
        </w:rPr>
      </w:pPr>
      <w:r w:rsidRPr="0046521A">
        <w:rPr>
          <w:rFonts w:cs="Arial"/>
        </w:rPr>
        <w:t xml:space="preserve">Reference(s): </w:t>
      </w:r>
      <w:r w:rsidRPr="002F6ED5">
        <w:rPr>
          <w:rFonts w:cs="Arial"/>
          <w:szCs w:val="24"/>
        </w:rPr>
        <w:t xml:space="preserve">Health &amp; Safety Code Sections 18928, 18928.1, 18930.5, 18934.5 </w:t>
      </w:r>
      <w:r>
        <w:rPr>
          <w:rFonts w:cs="Arial"/>
          <w:szCs w:val="24"/>
        </w:rPr>
        <w:t>and 18949.6</w:t>
      </w:r>
    </w:p>
    <w:p w14:paraId="581A3919" w14:textId="65AAE272" w:rsidR="00D557F1" w:rsidRPr="0046521A" w:rsidRDefault="00D557F1" w:rsidP="00281832">
      <w:pPr>
        <w:pStyle w:val="Heading3"/>
        <w:spacing w:before="240"/>
        <w:rPr>
          <w:noProof/>
        </w:rPr>
      </w:pPr>
      <w:r w:rsidRPr="0046521A">
        <w:t xml:space="preserve">ITEM </w:t>
      </w:r>
      <w:r w:rsidR="00202062">
        <w:rPr>
          <w:noProof/>
        </w:rPr>
        <w:t>6</w:t>
      </w:r>
      <w:r w:rsidRPr="0046521A">
        <w:rPr>
          <w:snapToGrid/>
        </w:rPr>
        <w:br/>
      </w:r>
      <w:r w:rsidRPr="0046521A">
        <w:t>Chapter</w:t>
      </w:r>
      <w:r w:rsidR="002F6ED5">
        <w:t>s</w:t>
      </w:r>
      <w:r w:rsidRPr="0046521A">
        <w:t xml:space="preserve"> </w:t>
      </w:r>
      <w:r w:rsidR="00202062">
        <w:rPr>
          <w:noProof/>
        </w:rPr>
        <w:t>6</w:t>
      </w:r>
      <w:r w:rsidR="002F6ED5">
        <w:rPr>
          <w:noProof/>
        </w:rPr>
        <w:t xml:space="preserve"> through 14 </w:t>
      </w:r>
    </w:p>
    <w:p w14:paraId="718F3712" w14:textId="2AE32FB7" w:rsidR="002F6ED5" w:rsidRDefault="002F6ED5" w:rsidP="00B834C6">
      <w:pPr>
        <w:rPr>
          <w:rFonts w:eastAsia="Times New Roman" w:cs="Arial"/>
          <w:szCs w:val="24"/>
        </w:rPr>
      </w:pPr>
      <w:r w:rsidRPr="002F6ED5">
        <w:rPr>
          <w:rFonts w:eastAsia="Times New Roman" w:cs="Arial"/>
          <w:szCs w:val="24"/>
        </w:rPr>
        <w:t xml:space="preserve">BSC </w:t>
      </w:r>
      <w:r w:rsidR="00F63992">
        <w:rPr>
          <w:rFonts w:eastAsia="Times New Roman" w:cs="Arial"/>
          <w:szCs w:val="24"/>
        </w:rPr>
        <w:t>p</w:t>
      </w:r>
      <w:r w:rsidRPr="002F6ED5">
        <w:rPr>
          <w:rFonts w:eastAsia="Times New Roman" w:cs="Arial"/>
          <w:szCs w:val="24"/>
        </w:rPr>
        <w:t>roposes to adopt Chapter</w:t>
      </w:r>
      <w:r w:rsidR="00F63992">
        <w:rPr>
          <w:rFonts w:eastAsia="Times New Roman" w:cs="Arial"/>
          <w:szCs w:val="24"/>
        </w:rPr>
        <w:t>s</w:t>
      </w:r>
      <w:r w:rsidRPr="002F6ED5">
        <w:rPr>
          <w:rFonts w:eastAsia="Times New Roman" w:cs="Arial"/>
          <w:szCs w:val="24"/>
        </w:rPr>
        <w:t xml:space="preserve"> </w:t>
      </w:r>
      <w:r w:rsidR="00202062">
        <w:rPr>
          <w:rFonts w:eastAsia="Times New Roman" w:cs="Arial"/>
          <w:szCs w:val="24"/>
        </w:rPr>
        <w:t>6</w:t>
      </w:r>
      <w:r w:rsidRPr="002F6ED5">
        <w:rPr>
          <w:rFonts w:eastAsia="Times New Roman" w:cs="Arial"/>
          <w:szCs w:val="24"/>
        </w:rPr>
        <w:t xml:space="preserve"> through 14 of the 2024 UMC into the 2025 C</w:t>
      </w:r>
      <w:r>
        <w:rPr>
          <w:rFonts w:eastAsia="Times New Roman" w:cs="Arial"/>
          <w:szCs w:val="24"/>
        </w:rPr>
        <w:t>M</w:t>
      </w:r>
      <w:r w:rsidRPr="002F6ED5">
        <w:rPr>
          <w:rFonts w:eastAsia="Times New Roman" w:cs="Arial"/>
          <w:szCs w:val="24"/>
        </w:rPr>
        <w:t>C without amendments.</w:t>
      </w:r>
    </w:p>
    <w:p w14:paraId="249BA851" w14:textId="77777777" w:rsidR="002F6ED5" w:rsidRPr="002F6ED5" w:rsidRDefault="002F6ED5" w:rsidP="00B834C6">
      <w:pPr>
        <w:rPr>
          <w:rFonts w:cs="Arial"/>
          <w:b/>
          <w:bCs/>
          <w:szCs w:val="24"/>
        </w:rPr>
      </w:pPr>
      <w:bookmarkStart w:id="2" w:name="_Hlk64884729"/>
      <w:r w:rsidRPr="002F6ED5">
        <w:rPr>
          <w:rFonts w:cs="Arial"/>
          <w:b/>
          <w:bCs/>
          <w:szCs w:val="24"/>
        </w:rPr>
        <w:t xml:space="preserve">Chapter 6 </w:t>
      </w:r>
      <w:bookmarkStart w:id="3" w:name="_Hlk59717003"/>
      <w:r w:rsidRPr="002F6ED5">
        <w:rPr>
          <w:rFonts w:cs="Arial"/>
          <w:b/>
          <w:bCs/>
          <w:szCs w:val="24"/>
        </w:rPr>
        <w:t>–</w:t>
      </w:r>
      <w:bookmarkEnd w:id="3"/>
      <w:r w:rsidRPr="002F6ED5">
        <w:rPr>
          <w:rFonts w:cs="Arial"/>
          <w:b/>
          <w:bCs/>
          <w:szCs w:val="24"/>
        </w:rPr>
        <w:t xml:space="preserve"> Duct Systems</w:t>
      </w:r>
    </w:p>
    <w:p w14:paraId="0294E952" w14:textId="77777777" w:rsidR="002F6ED5" w:rsidRPr="002F6ED5" w:rsidRDefault="002F6ED5" w:rsidP="00B834C6">
      <w:pPr>
        <w:rPr>
          <w:rFonts w:cs="Arial"/>
          <w:b/>
          <w:bCs/>
          <w:szCs w:val="24"/>
        </w:rPr>
      </w:pPr>
      <w:r w:rsidRPr="002F6ED5">
        <w:rPr>
          <w:rFonts w:cs="Arial"/>
          <w:b/>
          <w:bCs/>
          <w:szCs w:val="24"/>
        </w:rPr>
        <w:t>Chapter 7 – Combustion Air</w:t>
      </w:r>
    </w:p>
    <w:p w14:paraId="25C7A39E" w14:textId="77777777" w:rsidR="002F6ED5" w:rsidRPr="002F6ED5" w:rsidRDefault="002F6ED5" w:rsidP="00B834C6">
      <w:pPr>
        <w:rPr>
          <w:rFonts w:cs="Arial"/>
          <w:b/>
          <w:bCs/>
          <w:szCs w:val="24"/>
        </w:rPr>
      </w:pPr>
      <w:r w:rsidRPr="002F6ED5">
        <w:rPr>
          <w:rFonts w:cs="Arial"/>
          <w:b/>
          <w:bCs/>
          <w:szCs w:val="24"/>
        </w:rPr>
        <w:t>Chapter 8 – Chimneys and Vents</w:t>
      </w:r>
    </w:p>
    <w:p w14:paraId="76DC9A0C" w14:textId="77777777" w:rsidR="002F6ED5" w:rsidRPr="002F6ED5" w:rsidRDefault="002F6ED5" w:rsidP="00B834C6">
      <w:pPr>
        <w:rPr>
          <w:rFonts w:cs="Arial"/>
          <w:b/>
          <w:bCs/>
          <w:szCs w:val="24"/>
        </w:rPr>
      </w:pPr>
      <w:r w:rsidRPr="002F6ED5">
        <w:rPr>
          <w:rFonts w:cs="Arial"/>
          <w:b/>
          <w:bCs/>
          <w:szCs w:val="24"/>
        </w:rPr>
        <w:t>Chapter 9 – Installation of Specific Appliances</w:t>
      </w:r>
    </w:p>
    <w:p w14:paraId="080EB14E" w14:textId="77777777" w:rsidR="002F6ED5" w:rsidRPr="002F6ED5" w:rsidRDefault="002F6ED5" w:rsidP="00B834C6">
      <w:pPr>
        <w:rPr>
          <w:rFonts w:cs="Arial"/>
          <w:b/>
          <w:bCs/>
          <w:szCs w:val="24"/>
        </w:rPr>
      </w:pPr>
      <w:r w:rsidRPr="002F6ED5">
        <w:rPr>
          <w:rFonts w:cs="Arial"/>
          <w:b/>
          <w:bCs/>
          <w:szCs w:val="24"/>
        </w:rPr>
        <w:t>Chapter 10 – Boilers and Pressure Vessels</w:t>
      </w:r>
    </w:p>
    <w:p w14:paraId="36B4A307" w14:textId="77777777" w:rsidR="002F6ED5" w:rsidRPr="002F6ED5" w:rsidRDefault="002F6ED5" w:rsidP="00B834C6">
      <w:pPr>
        <w:rPr>
          <w:rFonts w:cs="Arial"/>
          <w:b/>
          <w:bCs/>
          <w:szCs w:val="24"/>
        </w:rPr>
      </w:pPr>
      <w:r w:rsidRPr="002F6ED5">
        <w:rPr>
          <w:rFonts w:cs="Arial"/>
          <w:b/>
          <w:bCs/>
          <w:szCs w:val="24"/>
        </w:rPr>
        <w:t>Chapter 11 – Refrigeration</w:t>
      </w:r>
    </w:p>
    <w:p w14:paraId="4ADF0508" w14:textId="77777777" w:rsidR="002F6ED5" w:rsidRPr="002F6ED5" w:rsidRDefault="002F6ED5" w:rsidP="00B834C6">
      <w:pPr>
        <w:rPr>
          <w:rFonts w:cs="Arial"/>
          <w:b/>
          <w:bCs/>
          <w:szCs w:val="24"/>
        </w:rPr>
      </w:pPr>
      <w:r w:rsidRPr="002F6ED5">
        <w:rPr>
          <w:rFonts w:cs="Arial"/>
          <w:b/>
          <w:bCs/>
          <w:szCs w:val="24"/>
        </w:rPr>
        <w:t>Chapter 12 – Hydronics</w:t>
      </w:r>
    </w:p>
    <w:p w14:paraId="68D0D44D" w14:textId="77777777" w:rsidR="002F6ED5" w:rsidRPr="002F6ED5" w:rsidRDefault="002F6ED5" w:rsidP="00B834C6">
      <w:pPr>
        <w:rPr>
          <w:rFonts w:cs="Arial"/>
          <w:b/>
          <w:bCs/>
          <w:szCs w:val="24"/>
        </w:rPr>
      </w:pPr>
      <w:r w:rsidRPr="002F6ED5">
        <w:rPr>
          <w:rFonts w:cs="Arial"/>
          <w:b/>
          <w:bCs/>
          <w:szCs w:val="24"/>
        </w:rPr>
        <w:t>Chapter 13 – Fuel Gas Piping</w:t>
      </w:r>
    </w:p>
    <w:p w14:paraId="2E6D8A5B" w14:textId="77777777" w:rsidR="002F6ED5" w:rsidRPr="002F6ED5" w:rsidRDefault="002F6ED5" w:rsidP="00B834C6">
      <w:pPr>
        <w:rPr>
          <w:rFonts w:cs="Arial"/>
          <w:b/>
          <w:bCs/>
          <w:szCs w:val="24"/>
        </w:rPr>
      </w:pPr>
      <w:r w:rsidRPr="002F6ED5">
        <w:rPr>
          <w:rFonts w:cs="Arial"/>
          <w:b/>
          <w:bCs/>
          <w:szCs w:val="24"/>
        </w:rPr>
        <w:t>Chapter 14 – Process P</w:t>
      </w:r>
      <w:bookmarkEnd w:id="2"/>
      <w:r w:rsidRPr="002F6ED5">
        <w:rPr>
          <w:rFonts w:cs="Arial"/>
          <w:b/>
          <w:bCs/>
          <w:szCs w:val="24"/>
        </w:rPr>
        <w:t>iping</w:t>
      </w:r>
    </w:p>
    <w:p w14:paraId="73834032" w14:textId="77777777" w:rsidR="00D557F1" w:rsidRPr="0046521A" w:rsidRDefault="00D557F1" w:rsidP="00B834C6">
      <w:pPr>
        <w:pStyle w:val="Heading4"/>
        <w:spacing w:before="0"/>
        <w:ind w:left="0"/>
      </w:pPr>
      <w:r w:rsidRPr="0046521A">
        <w:t xml:space="preserve">Notation: </w:t>
      </w:r>
    </w:p>
    <w:p w14:paraId="0B2AC327" w14:textId="57ED3405" w:rsidR="00456807" w:rsidRPr="0046521A" w:rsidRDefault="00D557F1" w:rsidP="00B834C6">
      <w:pPr>
        <w:rPr>
          <w:rFonts w:cs="Arial"/>
        </w:rPr>
      </w:pPr>
      <w:r w:rsidRPr="0046521A">
        <w:rPr>
          <w:rFonts w:cs="Arial"/>
        </w:rPr>
        <w:t xml:space="preserve">Authority: </w:t>
      </w:r>
      <w:r w:rsidR="002F6ED5" w:rsidRPr="00A64C06">
        <w:rPr>
          <w:rFonts w:cs="Arial"/>
          <w:szCs w:val="24"/>
        </w:rPr>
        <w:t>Health &amp; Safety Code Sections 18928, 18928.1</w:t>
      </w:r>
      <w:r w:rsidR="002F6ED5">
        <w:rPr>
          <w:rFonts w:cs="Arial"/>
          <w:szCs w:val="24"/>
        </w:rPr>
        <w:t>, 18930</w:t>
      </w:r>
      <w:r w:rsidR="00456807">
        <w:rPr>
          <w:rFonts w:cs="Arial"/>
          <w:szCs w:val="24"/>
        </w:rPr>
        <w:t xml:space="preserve">.5, </w:t>
      </w:r>
      <w:r w:rsidR="002F6ED5" w:rsidRPr="00A64C06">
        <w:rPr>
          <w:rFonts w:cs="Arial"/>
          <w:szCs w:val="24"/>
        </w:rPr>
        <w:t>18934.5</w:t>
      </w:r>
      <w:r w:rsidR="00456807">
        <w:rPr>
          <w:rFonts w:cs="Arial"/>
          <w:szCs w:val="24"/>
        </w:rPr>
        <w:t xml:space="preserve"> and 18949.6</w:t>
      </w:r>
    </w:p>
    <w:p w14:paraId="5373AD74" w14:textId="69027114" w:rsidR="00456807" w:rsidRPr="0046521A" w:rsidRDefault="00D557F1" w:rsidP="00B834C6">
      <w:pPr>
        <w:rPr>
          <w:rFonts w:cs="Arial"/>
        </w:rPr>
      </w:pPr>
      <w:r w:rsidRPr="0046521A">
        <w:rPr>
          <w:rFonts w:cs="Arial"/>
        </w:rPr>
        <w:t xml:space="preserve">Reference(s): </w:t>
      </w:r>
      <w:r w:rsidR="002F6ED5" w:rsidRPr="00A64C06">
        <w:rPr>
          <w:rFonts w:cs="Arial"/>
          <w:szCs w:val="24"/>
        </w:rPr>
        <w:t>Health &amp; Safety Code Sections 18928, 18928.1</w:t>
      </w:r>
      <w:r w:rsidR="00456807">
        <w:rPr>
          <w:rFonts w:cs="Arial"/>
          <w:szCs w:val="24"/>
        </w:rPr>
        <w:t>, 18930.5,</w:t>
      </w:r>
      <w:r w:rsidR="002F6ED5" w:rsidRPr="00A64C06">
        <w:rPr>
          <w:rFonts w:cs="Arial"/>
          <w:szCs w:val="24"/>
        </w:rPr>
        <w:t xml:space="preserve"> 18934.5</w:t>
      </w:r>
      <w:r w:rsidR="00456807">
        <w:rPr>
          <w:rFonts w:cs="Arial"/>
          <w:szCs w:val="24"/>
        </w:rPr>
        <w:t xml:space="preserve"> and 18949.6</w:t>
      </w:r>
    </w:p>
    <w:p w14:paraId="1F694A9B" w14:textId="08799368" w:rsidR="00D557F1" w:rsidRPr="0046521A" w:rsidRDefault="00D557F1" w:rsidP="00281832">
      <w:pPr>
        <w:pStyle w:val="Heading3"/>
        <w:spacing w:before="240"/>
        <w:rPr>
          <w:noProof/>
        </w:rPr>
      </w:pPr>
      <w:r w:rsidRPr="0046521A">
        <w:t xml:space="preserve">ITEM </w:t>
      </w:r>
      <w:r w:rsidR="004A42C1">
        <w:rPr>
          <w:noProof/>
        </w:rPr>
        <w:t>7</w:t>
      </w:r>
      <w:r w:rsidRPr="0046521A">
        <w:rPr>
          <w:snapToGrid/>
        </w:rPr>
        <w:br/>
      </w:r>
      <w:r w:rsidRPr="0046521A">
        <w:t xml:space="preserve">Chapter </w:t>
      </w:r>
      <w:r w:rsidR="002F6ED5">
        <w:rPr>
          <w:noProof/>
        </w:rPr>
        <w:t>15</w:t>
      </w:r>
      <w:r w:rsidRPr="0046521A">
        <w:rPr>
          <w:noProof/>
        </w:rPr>
        <w:t>,</w:t>
      </w:r>
      <w:r w:rsidR="002F6ED5">
        <w:rPr>
          <w:noProof/>
        </w:rPr>
        <w:t xml:space="preserve"> Solar Systems </w:t>
      </w:r>
    </w:p>
    <w:p w14:paraId="4E98FB6B" w14:textId="77777777" w:rsidR="002F6ED5" w:rsidRPr="002F6ED5" w:rsidRDefault="002F6ED5" w:rsidP="00B834C6">
      <w:pPr>
        <w:rPr>
          <w:rFonts w:eastAsia="Times New Roman" w:cs="Arial"/>
          <w:szCs w:val="24"/>
        </w:rPr>
      </w:pPr>
      <w:r w:rsidRPr="002F6ED5">
        <w:rPr>
          <w:rFonts w:eastAsia="Times New Roman" w:cs="Arial"/>
          <w:szCs w:val="24"/>
        </w:rPr>
        <w:t>BSC proposes to NOT adopt Chapter 15 of the 2024 UMC.</w:t>
      </w:r>
    </w:p>
    <w:p w14:paraId="3FC4F230" w14:textId="77777777" w:rsidR="00D557F1" w:rsidRPr="0046521A" w:rsidRDefault="00D557F1" w:rsidP="00B834C6">
      <w:pPr>
        <w:pStyle w:val="Heading4"/>
        <w:spacing w:before="0"/>
        <w:ind w:left="0"/>
      </w:pPr>
      <w:r w:rsidRPr="0046521A">
        <w:t xml:space="preserve">Notation: </w:t>
      </w:r>
    </w:p>
    <w:p w14:paraId="14496AC0" w14:textId="1BB80B72" w:rsidR="00456807" w:rsidRPr="0046521A" w:rsidRDefault="00D557F1" w:rsidP="00B834C6">
      <w:pPr>
        <w:rPr>
          <w:rFonts w:cs="Arial"/>
        </w:rPr>
      </w:pPr>
      <w:r w:rsidRPr="0046521A">
        <w:rPr>
          <w:rFonts w:cs="Arial"/>
        </w:rPr>
        <w:t xml:space="preserve">Authority: </w:t>
      </w:r>
      <w:r w:rsidR="002F6ED5" w:rsidRPr="00A64C06">
        <w:rPr>
          <w:rFonts w:cs="Arial"/>
          <w:szCs w:val="24"/>
        </w:rPr>
        <w:t>Health &amp; Safety Code Sections 18928, 18928.1</w:t>
      </w:r>
      <w:r w:rsidR="002F6ED5">
        <w:rPr>
          <w:rFonts w:cs="Arial"/>
          <w:szCs w:val="24"/>
        </w:rPr>
        <w:t>, 18930</w:t>
      </w:r>
      <w:r w:rsidR="00456807">
        <w:rPr>
          <w:rFonts w:cs="Arial"/>
          <w:szCs w:val="24"/>
        </w:rPr>
        <w:t>.5,</w:t>
      </w:r>
      <w:r w:rsidR="002F6ED5" w:rsidRPr="00A64C06">
        <w:rPr>
          <w:rFonts w:cs="Arial"/>
          <w:szCs w:val="24"/>
        </w:rPr>
        <w:t xml:space="preserve"> 18934.5</w:t>
      </w:r>
      <w:r w:rsidR="00340E3F">
        <w:rPr>
          <w:rFonts w:cs="Arial"/>
          <w:szCs w:val="24"/>
        </w:rPr>
        <w:t xml:space="preserve"> </w:t>
      </w:r>
      <w:r w:rsidR="00456807">
        <w:rPr>
          <w:rFonts w:cs="Arial"/>
          <w:szCs w:val="24"/>
        </w:rPr>
        <w:t>and 18949.6</w:t>
      </w:r>
    </w:p>
    <w:p w14:paraId="5F3C06DF" w14:textId="32570B63" w:rsidR="00456807" w:rsidRDefault="00D557F1" w:rsidP="00B834C6">
      <w:pPr>
        <w:rPr>
          <w:rFonts w:cs="Arial"/>
          <w:szCs w:val="24"/>
        </w:rPr>
      </w:pPr>
      <w:r w:rsidRPr="0046521A">
        <w:rPr>
          <w:rFonts w:cs="Arial"/>
        </w:rPr>
        <w:t xml:space="preserve">Reference(s): </w:t>
      </w:r>
      <w:r w:rsidR="002F6ED5" w:rsidRPr="00A64C06">
        <w:rPr>
          <w:rFonts w:cs="Arial"/>
          <w:szCs w:val="24"/>
        </w:rPr>
        <w:t>Health &amp; Safety Code Sections 18928, 18928.1</w:t>
      </w:r>
      <w:r w:rsidR="00456807">
        <w:rPr>
          <w:rFonts w:cs="Arial"/>
          <w:szCs w:val="24"/>
        </w:rPr>
        <w:t xml:space="preserve">, 18930.5, </w:t>
      </w:r>
      <w:r w:rsidR="002F6ED5" w:rsidRPr="00A64C06">
        <w:rPr>
          <w:rFonts w:cs="Arial"/>
          <w:szCs w:val="24"/>
        </w:rPr>
        <w:t>18934.5</w:t>
      </w:r>
      <w:r w:rsidR="00340E3F">
        <w:rPr>
          <w:rFonts w:cs="Arial"/>
          <w:szCs w:val="24"/>
        </w:rPr>
        <w:t xml:space="preserve"> </w:t>
      </w:r>
      <w:r w:rsidR="00456807">
        <w:rPr>
          <w:rFonts w:cs="Arial"/>
          <w:szCs w:val="24"/>
        </w:rPr>
        <w:t>and 18949.6</w:t>
      </w:r>
    </w:p>
    <w:p w14:paraId="324BACAD" w14:textId="1C2C2E29" w:rsidR="00C64529" w:rsidRPr="00C64529" w:rsidRDefault="00C64529" w:rsidP="00C64529">
      <w:pPr>
        <w:tabs>
          <w:tab w:val="left" w:pos="8307"/>
        </w:tabs>
        <w:rPr>
          <w:rFonts w:cs="Arial"/>
        </w:rPr>
      </w:pPr>
      <w:r>
        <w:rPr>
          <w:rFonts w:cs="Arial"/>
        </w:rPr>
        <w:tab/>
      </w:r>
    </w:p>
    <w:p w14:paraId="5541E884" w14:textId="3125B3F9" w:rsidR="00D557F1" w:rsidRPr="0046521A" w:rsidRDefault="00D557F1" w:rsidP="00281832">
      <w:pPr>
        <w:pStyle w:val="Heading3"/>
        <w:spacing w:before="240"/>
        <w:rPr>
          <w:noProof/>
        </w:rPr>
      </w:pPr>
      <w:r w:rsidRPr="0046521A">
        <w:lastRenderedPageBreak/>
        <w:t>ITEM</w:t>
      </w:r>
      <w:r w:rsidR="004A42C1">
        <w:rPr>
          <w:noProof/>
        </w:rPr>
        <w:t xml:space="preserve"> </w:t>
      </w:r>
      <w:r w:rsidR="002F6ED5">
        <w:rPr>
          <w:noProof/>
        </w:rPr>
        <w:t>8</w:t>
      </w:r>
      <w:r w:rsidRPr="0046521A">
        <w:rPr>
          <w:snapToGrid/>
        </w:rPr>
        <w:br/>
      </w:r>
      <w:r w:rsidRPr="0046521A">
        <w:t>Chapter</w:t>
      </w:r>
      <w:r w:rsidR="002F6ED5">
        <w:t>s</w:t>
      </w:r>
      <w:r w:rsidRPr="0046521A">
        <w:t xml:space="preserve"> </w:t>
      </w:r>
      <w:r w:rsidR="002F6ED5">
        <w:rPr>
          <w:noProof/>
        </w:rPr>
        <w:t>16, 17</w:t>
      </w:r>
      <w:r w:rsidRPr="0046521A">
        <w:rPr>
          <w:noProof/>
        </w:rPr>
        <w:t>,</w:t>
      </w:r>
      <w:r w:rsidR="002F6ED5">
        <w:rPr>
          <w:noProof/>
        </w:rPr>
        <w:t xml:space="preserve"> 18</w:t>
      </w:r>
      <w:r w:rsidRPr="0046521A">
        <w:rPr>
          <w:noProof/>
        </w:rPr>
        <w:t xml:space="preserve"> </w:t>
      </w:r>
    </w:p>
    <w:p w14:paraId="6D81297B" w14:textId="05FA7FFB" w:rsidR="002F6ED5" w:rsidRPr="002F6ED5" w:rsidRDefault="002F6ED5" w:rsidP="00B834C6">
      <w:pPr>
        <w:rPr>
          <w:rFonts w:cs="Arial"/>
          <w:szCs w:val="24"/>
        </w:rPr>
      </w:pPr>
      <w:r w:rsidRPr="002F6ED5">
        <w:rPr>
          <w:rFonts w:cs="Arial"/>
          <w:szCs w:val="24"/>
        </w:rPr>
        <w:t>BSC proposes to adopt Chapters 16</w:t>
      </w:r>
      <w:r w:rsidR="00F35590">
        <w:rPr>
          <w:rFonts w:cs="Arial"/>
          <w:szCs w:val="24"/>
        </w:rPr>
        <w:t xml:space="preserve">, </w:t>
      </w:r>
      <w:r w:rsidRPr="002F6ED5">
        <w:rPr>
          <w:rFonts w:cs="Arial"/>
          <w:szCs w:val="24"/>
        </w:rPr>
        <w:t>17</w:t>
      </w:r>
      <w:r w:rsidR="00F35590">
        <w:rPr>
          <w:rFonts w:cs="Arial"/>
          <w:szCs w:val="24"/>
        </w:rPr>
        <w:t xml:space="preserve"> and 18</w:t>
      </w:r>
      <w:r w:rsidRPr="002F6ED5">
        <w:rPr>
          <w:rFonts w:cs="Arial"/>
          <w:szCs w:val="24"/>
        </w:rPr>
        <w:t xml:space="preserve"> of the 2024 UMC into the 2025 C</w:t>
      </w:r>
      <w:r w:rsidR="00FC332A">
        <w:rPr>
          <w:rFonts w:cs="Arial"/>
          <w:szCs w:val="24"/>
        </w:rPr>
        <w:t>M</w:t>
      </w:r>
      <w:r w:rsidRPr="002F6ED5">
        <w:rPr>
          <w:rFonts w:cs="Arial"/>
          <w:szCs w:val="24"/>
        </w:rPr>
        <w:t xml:space="preserve">C </w:t>
      </w:r>
      <w:r w:rsidR="00280AE7">
        <w:rPr>
          <w:rFonts w:cs="Arial"/>
          <w:szCs w:val="24"/>
        </w:rPr>
        <w:t xml:space="preserve">without </w:t>
      </w:r>
      <w:r w:rsidR="00B61DC7">
        <w:rPr>
          <w:rFonts w:cs="Arial"/>
          <w:szCs w:val="24"/>
        </w:rPr>
        <w:t>amendment</w:t>
      </w:r>
      <w:r w:rsidR="00280AE7">
        <w:rPr>
          <w:rFonts w:cs="Arial"/>
          <w:szCs w:val="24"/>
        </w:rPr>
        <w:t>.</w:t>
      </w:r>
    </w:p>
    <w:p w14:paraId="0F213F22" w14:textId="77777777" w:rsidR="002F6ED5" w:rsidRPr="002F6ED5" w:rsidRDefault="002F6ED5" w:rsidP="00B834C6">
      <w:pPr>
        <w:rPr>
          <w:rFonts w:cs="Arial"/>
          <w:b/>
          <w:bCs/>
          <w:szCs w:val="24"/>
        </w:rPr>
      </w:pPr>
      <w:bookmarkStart w:id="4" w:name="_Hlk58868220"/>
      <w:r w:rsidRPr="002F6ED5">
        <w:rPr>
          <w:rFonts w:cs="Arial"/>
          <w:b/>
          <w:bCs/>
          <w:szCs w:val="24"/>
        </w:rPr>
        <w:t>Chapter 16 – Stationary Power Plants</w:t>
      </w:r>
    </w:p>
    <w:p w14:paraId="097FC11D" w14:textId="77777777" w:rsidR="002F6ED5" w:rsidRPr="002F6ED5" w:rsidRDefault="002F6ED5" w:rsidP="00B834C6">
      <w:pPr>
        <w:rPr>
          <w:rFonts w:cs="Arial"/>
          <w:b/>
          <w:bCs/>
          <w:szCs w:val="24"/>
        </w:rPr>
      </w:pPr>
      <w:r w:rsidRPr="00686CFE">
        <w:rPr>
          <w:rFonts w:cs="Arial"/>
          <w:b/>
          <w:bCs/>
          <w:szCs w:val="24"/>
        </w:rPr>
        <w:t>Chapter 17 – Geothermal Energy Systems and Ambient Temperature Loops</w:t>
      </w:r>
    </w:p>
    <w:p w14:paraId="05202D23" w14:textId="77777777" w:rsidR="002F6ED5" w:rsidRPr="002F6ED5" w:rsidRDefault="002F6ED5" w:rsidP="00B834C6">
      <w:pPr>
        <w:rPr>
          <w:rFonts w:cs="Arial"/>
          <w:b/>
          <w:bCs/>
          <w:szCs w:val="24"/>
        </w:rPr>
      </w:pPr>
      <w:r w:rsidRPr="002F6ED5">
        <w:rPr>
          <w:rFonts w:cs="Arial"/>
          <w:b/>
          <w:bCs/>
          <w:szCs w:val="24"/>
        </w:rPr>
        <w:t>Chapter 18 – Referenced Standards</w:t>
      </w:r>
    </w:p>
    <w:bookmarkEnd w:id="4"/>
    <w:p w14:paraId="7D43F2A2" w14:textId="77777777" w:rsidR="00D557F1" w:rsidRPr="0046521A" w:rsidRDefault="00D557F1" w:rsidP="00B834C6">
      <w:pPr>
        <w:pStyle w:val="Heading4"/>
        <w:spacing w:before="0"/>
        <w:ind w:left="0"/>
      </w:pPr>
      <w:r w:rsidRPr="0046521A">
        <w:t xml:space="preserve">Notation: </w:t>
      </w:r>
    </w:p>
    <w:p w14:paraId="0D02B088" w14:textId="505C939B" w:rsidR="00456807" w:rsidRPr="0046521A" w:rsidRDefault="00D557F1" w:rsidP="00B834C6">
      <w:pPr>
        <w:rPr>
          <w:rFonts w:cs="Arial"/>
        </w:rPr>
      </w:pPr>
      <w:r w:rsidRPr="0046521A">
        <w:rPr>
          <w:rFonts w:cs="Arial"/>
        </w:rPr>
        <w:t xml:space="preserve">Authority: </w:t>
      </w:r>
      <w:r w:rsidR="002F6ED5" w:rsidRPr="00A64C06">
        <w:rPr>
          <w:rFonts w:cs="Arial"/>
          <w:szCs w:val="24"/>
        </w:rPr>
        <w:t>Health &amp; Safety Code Sections 18928, 18928.1</w:t>
      </w:r>
      <w:r w:rsidR="002F6ED5">
        <w:rPr>
          <w:rFonts w:cs="Arial"/>
          <w:szCs w:val="24"/>
        </w:rPr>
        <w:t>, 18930</w:t>
      </w:r>
      <w:r w:rsidR="00456807">
        <w:rPr>
          <w:rFonts w:cs="Arial"/>
          <w:szCs w:val="24"/>
        </w:rPr>
        <w:t>.5,</w:t>
      </w:r>
      <w:r w:rsidR="002F6ED5" w:rsidRPr="00A64C06">
        <w:rPr>
          <w:rFonts w:cs="Arial"/>
          <w:szCs w:val="24"/>
        </w:rPr>
        <w:t xml:space="preserve"> 18934.5</w:t>
      </w:r>
      <w:r w:rsidR="00456807">
        <w:rPr>
          <w:rFonts w:cs="Arial"/>
          <w:szCs w:val="24"/>
        </w:rPr>
        <w:t xml:space="preserve"> and 18949.6</w:t>
      </w:r>
    </w:p>
    <w:p w14:paraId="181905D5" w14:textId="6F81BC4D" w:rsidR="00456807" w:rsidRPr="0046521A" w:rsidRDefault="00D557F1" w:rsidP="00B834C6">
      <w:pPr>
        <w:rPr>
          <w:rFonts w:cs="Arial"/>
        </w:rPr>
      </w:pPr>
      <w:r w:rsidRPr="0046521A">
        <w:rPr>
          <w:rFonts w:cs="Arial"/>
        </w:rPr>
        <w:t xml:space="preserve">Reference(s): </w:t>
      </w:r>
      <w:r w:rsidR="00945D7C" w:rsidRPr="00A64C06">
        <w:rPr>
          <w:rFonts w:cs="Arial"/>
          <w:szCs w:val="24"/>
        </w:rPr>
        <w:t>Health &amp; Safety Code Sections 18928, 18928.1</w:t>
      </w:r>
      <w:r w:rsidR="00456807">
        <w:rPr>
          <w:rFonts w:cs="Arial"/>
          <w:szCs w:val="24"/>
        </w:rPr>
        <w:t xml:space="preserve">, 18930.5, </w:t>
      </w:r>
      <w:r w:rsidR="00945D7C" w:rsidRPr="00A64C06">
        <w:rPr>
          <w:rFonts w:cs="Arial"/>
          <w:szCs w:val="24"/>
        </w:rPr>
        <w:t>18934.5</w:t>
      </w:r>
      <w:r w:rsidR="00456807">
        <w:rPr>
          <w:rFonts w:cs="Arial"/>
          <w:szCs w:val="24"/>
        </w:rPr>
        <w:t xml:space="preserve"> and 18949.6</w:t>
      </w:r>
    </w:p>
    <w:p w14:paraId="5E96B0F7" w14:textId="71731AE2" w:rsidR="00D557F1" w:rsidRPr="0046521A" w:rsidRDefault="00D557F1" w:rsidP="00281832">
      <w:pPr>
        <w:pStyle w:val="Heading3"/>
        <w:spacing w:before="240"/>
        <w:rPr>
          <w:noProof/>
        </w:rPr>
      </w:pPr>
      <w:r w:rsidRPr="0046521A">
        <w:t xml:space="preserve">ITEM </w:t>
      </w:r>
      <w:r w:rsidR="00945D7C">
        <w:rPr>
          <w:noProof/>
        </w:rPr>
        <w:t>9</w:t>
      </w:r>
      <w:r w:rsidRPr="0046521A">
        <w:rPr>
          <w:snapToGrid/>
        </w:rPr>
        <w:br/>
      </w:r>
      <w:r w:rsidR="00945D7C">
        <w:t xml:space="preserve">Appendix A </w:t>
      </w:r>
    </w:p>
    <w:p w14:paraId="7A0DA9FF" w14:textId="58308E6A" w:rsidR="00945D7C" w:rsidRDefault="00945D7C" w:rsidP="00B834C6">
      <w:pPr>
        <w:rPr>
          <w:rFonts w:cs="Arial"/>
          <w:szCs w:val="24"/>
        </w:rPr>
      </w:pPr>
      <w:r w:rsidRPr="00945D7C">
        <w:rPr>
          <w:rFonts w:cs="Arial"/>
          <w:szCs w:val="24"/>
        </w:rPr>
        <w:t>BSC proposes to NOT adopt Appendix Chapter A of the 2024 UMC</w:t>
      </w:r>
      <w:r>
        <w:rPr>
          <w:rFonts w:cs="Arial"/>
          <w:szCs w:val="24"/>
        </w:rPr>
        <w:t>.</w:t>
      </w:r>
    </w:p>
    <w:p w14:paraId="10E57BEE" w14:textId="4ED017BA" w:rsidR="00945D7C" w:rsidRPr="00945D7C" w:rsidRDefault="00945D7C" w:rsidP="00B834C6">
      <w:pPr>
        <w:rPr>
          <w:rFonts w:cs="Arial"/>
          <w:b/>
          <w:bCs/>
          <w:szCs w:val="24"/>
        </w:rPr>
      </w:pPr>
      <w:r w:rsidRPr="00945D7C">
        <w:rPr>
          <w:b/>
          <w:bCs/>
        </w:rPr>
        <w:t>Appendix A – Residential Plans Examiner Review Form for HVAC System Design</w:t>
      </w:r>
    </w:p>
    <w:p w14:paraId="68B59D53" w14:textId="77777777" w:rsidR="00D557F1" w:rsidRPr="0046521A" w:rsidRDefault="00D557F1" w:rsidP="00B834C6">
      <w:pPr>
        <w:pStyle w:val="Heading4"/>
        <w:spacing w:before="0"/>
        <w:ind w:left="0"/>
      </w:pPr>
      <w:r w:rsidRPr="0046521A">
        <w:t xml:space="preserve">Notation: </w:t>
      </w:r>
    </w:p>
    <w:p w14:paraId="0A630C3E" w14:textId="048E336D" w:rsidR="00C505A4" w:rsidRPr="0046521A" w:rsidRDefault="00D557F1" w:rsidP="00B834C6">
      <w:pPr>
        <w:rPr>
          <w:rFonts w:cs="Arial"/>
        </w:rPr>
      </w:pPr>
      <w:r w:rsidRPr="0046521A">
        <w:rPr>
          <w:rFonts w:cs="Arial"/>
        </w:rPr>
        <w:t xml:space="preserve">Authority: </w:t>
      </w:r>
      <w:r w:rsidR="00945D7C" w:rsidRPr="00A64C06">
        <w:rPr>
          <w:rFonts w:cs="Arial"/>
          <w:szCs w:val="24"/>
        </w:rPr>
        <w:t>Health &amp; Safety Code Sections 18928, 18928.1</w:t>
      </w:r>
      <w:r w:rsidR="00945D7C">
        <w:rPr>
          <w:rFonts w:cs="Arial"/>
          <w:szCs w:val="24"/>
        </w:rPr>
        <w:t>, 18930</w:t>
      </w:r>
      <w:r w:rsidR="00456807">
        <w:rPr>
          <w:rFonts w:cs="Arial"/>
          <w:szCs w:val="24"/>
        </w:rPr>
        <w:t>.5,</w:t>
      </w:r>
      <w:r w:rsidR="00945D7C" w:rsidRPr="00A64C06">
        <w:rPr>
          <w:rFonts w:cs="Arial"/>
          <w:szCs w:val="24"/>
        </w:rPr>
        <w:t xml:space="preserve"> 18934.5</w:t>
      </w:r>
      <w:r w:rsidR="00C505A4">
        <w:rPr>
          <w:rFonts w:cs="Arial"/>
          <w:szCs w:val="24"/>
        </w:rPr>
        <w:t xml:space="preserve"> and 18949.6</w:t>
      </w:r>
    </w:p>
    <w:p w14:paraId="4E053BED" w14:textId="5E3F5198" w:rsidR="00C505A4" w:rsidRPr="0046521A" w:rsidRDefault="00D557F1" w:rsidP="00B834C6">
      <w:pPr>
        <w:rPr>
          <w:rFonts w:cs="Arial"/>
        </w:rPr>
      </w:pPr>
      <w:r w:rsidRPr="0046521A">
        <w:rPr>
          <w:rFonts w:cs="Arial"/>
        </w:rPr>
        <w:t xml:space="preserve">Reference(s): </w:t>
      </w:r>
      <w:r w:rsidR="00945D7C" w:rsidRPr="00A64C06">
        <w:rPr>
          <w:rFonts w:cs="Arial"/>
          <w:szCs w:val="24"/>
        </w:rPr>
        <w:t>Health &amp; Safety Code Sections 18928, 18928.1</w:t>
      </w:r>
      <w:r w:rsidR="00C505A4">
        <w:rPr>
          <w:rFonts w:cs="Arial"/>
          <w:szCs w:val="24"/>
        </w:rPr>
        <w:t xml:space="preserve">, 18930.5, </w:t>
      </w:r>
      <w:proofErr w:type="gramStart"/>
      <w:r w:rsidR="00945D7C" w:rsidRPr="00A64C06">
        <w:rPr>
          <w:rFonts w:cs="Arial"/>
          <w:szCs w:val="24"/>
        </w:rPr>
        <w:t>18934.5</w:t>
      </w:r>
      <w:r w:rsidR="00C505A4">
        <w:rPr>
          <w:rFonts w:cs="Arial"/>
          <w:szCs w:val="24"/>
        </w:rPr>
        <w:t xml:space="preserve">  and</w:t>
      </w:r>
      <w:proofErr w:type="gramEnd"/>
      <w:r w:rsidR="00C505A4">
        <w:rPr>
          <w:rFonts w:cs="Arial"/>
          <w:szCs w:val="24"/>
        </w:rPr>
        <w:t xml:space="preserve"> 18949.6</w:t>
      </w:r>
    </w:p>
    <w:p w14:paraId="224ED4B4" w14:textId="065A373A" w:rsidR="00D557F1" w:rsidRPr="0046521A" w:rsidRDefault="00D557F1" w:rsidP="00281832">
      <w:pPr>
        <w:pStyle w:val="Heading3"/>
        <w:spacing w:before="240"/>
        <w:rPr>
          <w:noProof/>
        </w:rPr>
      </w:pPr>
      <w:r w:rsidRPr="0046521A">
        <w:t xml:space="preserve">ITEM </w:t>
      </w:r>
      <w:r w:rsidR="004A42C1">
        <w:rPr>
          <w:noProof/>
        </w:rPr>
        <w:t>10</w:t>
      </w:r>
      <w:r w:rsidRPr="0046521A">
        <w:rPr>
          <w:snapToGrid/>
        </w:rPr>
        <w:br/>
      </w:r>
      <w:r w:rsidR="00945D7C">
        <w:t>Appendices B and C</w:t>
      </w:r>
    </w:p>
    <w:p w14:paraId="2FBA293D" w14:textId="3146DA19" w:rsidR="00945D7C" w:rsidRDefault="00945D7C" w:rsidP="00B834C6">
      <w:pPr>
        <w:rPr>
          <w:rFonts w:cs="Arial"/>
          <w:szCs w:val="24"/>
        </w:rPr>
      </w:pPr>
      <w:r w:rsidRPr="00945D7C">
        <w:rPr>
          <w:rFonts w:cs="Arial"/>
          <w:szCs w:val="24"/>
        </w:rPr>
        <w:t>BSC proposes to adopt Appendix Chapters B and C of the 2024 UMC into the 2025 C</w:t>
      </w:r>
      <w:r w:rsidR="00FC332A">
        <w:rPr>
          <w:rFonts w:cs="Arial"/>
          <w:szCs w:val="24"/>
        </w:rPr>
        <w:t>M</w:t>
      </w:r>
      <w:r w:rsidRPr="00945D7C">
        <w:rPr>
          <w:rFonts w:cs="Arial"/>
          <w:szCs w:val="24"/>
        </w:rPr>
        <w:t>C without amendment.</w:t>
      </w:r>
    </w:p>
    <w:p w14:paraId="6E7443EB" w14:textId="77777777" w:rsidR="00945D7C" w:rsidRPr="00945D7C" w:rsidRDefault="00945D7C" w:rsidP="00B834C6">
      <w:pPr>
        <w:rPr>
          <w:b/>
          <w:bCs/>
        </w:rPr>
      </w:pPr>
      <w:r w:rsidRPr="00945D7C">
        <w:rPr>
          <w:b/>
          <w:bCs/>
        </w:rPr>
        <w:t>Appendix B – Procedures to be Followed to Place Gas Equipment in Operation</w:t>
      </w:r>
    </w:p>
    <w:p w14:paraId="7D5E9038" w14:textId="77777777" w:rsidR="00945D7C" w:rsidRPr="00945D7C" w:rsidRDefault="00945D7C" w:rsidP="00B834C6">
      <w:pPr>
        <w:rPr>
          <w:b/>
          <w:bCs/>
        </w:rPr>
      </w:pPr>
      <w:r w:rsidRPr="00945D7C">
        <w:rPr>
          <w:b/>
          <w:bCs/>
        </w:rPr>
        <w:t>Appendix C – Installation and Testing of Oil (Liquid) Fuel-Fired Equipment.</w:t>
      </w:r>
    </w:p>
    <w:p w14:paraId="6E641EDC" w14:textId="77777777" w:rsidR="00D557F1" w:rsidRPr="0046521A" w:rsidRDefault="00D557F1" w:rsidP="00B834C6">
      <w:pPr>
        <w:pStyle w:val="Heading4"/>
        <w:spacing w:before="0"/>
        <w:ind w:left="0"/>
      </w:pPr>
      <w:r w:rsidRPr="0046521A">
        <w:t xml:space="preserve">Notation: </w:t>
      </w:r>
    </w:p>
    <w:p w14:paraId="58E792A2" w14:textId="6B09C552" w:rsidR="00C505A4" w:rsidRPr="0046521A" w:rsidRDefault="00D557F1" w:rsidP="00B834C6">
      <w:pPr>
        <w:rPr>
          <w:rFonts w:cs="Arial"/>
        </w:rPr>
      </w:pPr>
      <w:r w:rsidRPr="0046521A">
        <w:rPr>
          <w:rFonts w:cs="Arial"/>
        </w:rPr>
        <w:t xml:space="preserve">Authority: </w:t>
      </w:r>
      <w:r w:rsidR="00E44001" w:rsidRPr="00A64C06">
        <w:rPr>
          <w:rFonts w:cs="Arial"/>
          <w:szCs w:val="24"/>
        </w:rPr>
        <w:t>Health &amp; Safety Code Sections 18928, 18928.1</w:t>
      </w:r>
      <w:r w:rsidR="00E44001">
        <w:rPr>
          <w:rFonts w:cs="Arial"/>
          <w:szCs w:val="24"/>
        </w:rPr>
        <w:t>, 18930</w:t>
      </w:r>
      <w:r w:rsidR="00C505A4">
        <w:rPr>
          <w:rFonts w:cs="Arial"/>
          <w:szCs w:val="24"/>
        </w:rPr>
        <w:t>.5,</w:t>
      </w:r>
      <w:r w:rsidR="00E44001" w:rsidRPr="00A64C06">
        <w:rPr>
          <w:rFonts w:cs="Arial"/>
          <w:szCs w:val="24"/>
        </w:rPr>
        <w:t xml:space="preserve"> 18934.5</w:t>
      </w:r>
      <w:r w:rsidR="00C505A4">
        <w:rPr>
          <w:rFonts w:cs="Arial"/>
          <w:szCs w:val="24"/>
        </w:rPr>
        <w:t xml:space="preserve"> and 18949.6</w:t>
      </w:r>
    </w:p>
    <w:p w14:paraId="2782C218" w14:textId="6E75098A" w:rsidR="00C505A4" w:rsidRPr="0046521A" w:rsidRDefault="00D557F1" w:rsidP="00B834C6">
      <w:pPr>
        <w:rPr>
          <w:rFonts w:cs="Arial"/>
        </w:rPr>
      </w:pPr>
      <w:r w:rsidRPr="0046521A">
        <w:rPr>
          <w:rFonts w:cs="Arial"/>
        </w:rPr>
        <w:t xml:space="preserve">Reference(s): </w:t>
      </w:r>
      <w:r w:rsidR="00E44001" w:rsidRPr="00E44001">
        <w:rPr>
          <w:rFonts w:cs="Arial"/>
          <w:szCs w:val="24"/>
        </w:rPr>
        <w:t>Health &amp; Safety Code Sections 18928, 18928.1</w:t>
      </w:r>
      <w:r w:rsidR="00C505A4">
        <w:rPr>
          <w:rFonts w:cs="Arial"/>
          <w:szCs w:val="24"/>
        </w:rPr>
        <w:t xml:space="preserve">, 18930.5, </w:t>
      </w:r>
      <w:r w:rsidR="00E44001" w:rsidRPr="00E44001">
        <w:rPr>
          <w:rFonts w:cs="Arial"/>
          <w:szCs w:val="24"/>
        </w:rPr>
        <w:t>18934.5</w:t>
      </w:r>
      <w:r w:rsidR="00C505A4">
        <w:rPr>
          <w:rFonts w:cs="Arial"/>
          <w:szCs w:val="24"/>
        </w:rPr>
        <w:t xml:space="preserve"> and 18949.6</w:t>
      </w:r>
    </w:p>
    <w:p w14:paraId="10706902" w14:textId="587A9BF0" w:rsidR="00D557F1" w:rsidRPr="0046521A" w:rsidRDefault="00D557F1" w:rsidP="00281832">
      <w:pPr>
        <w:pStyle w:val="Heading3"/>
        <w:spacing w:before="240"/>
        <w:rPr>
          <w:noProof/>
        </w:rPr>
      </w:pPr>
      <w:r w:rsidRPr="0046521A">
        <w:t xml:space="preserve">ITEM </w:t>
      </w:r>
      <w:r w:rsidR="004A42C1">
        <w:rPr>
          <w:noProof/>
        </w:rPr>
        <w:t>11</w:t>
      </w:r>
      <w:r w:rsidRPr="0046521A">
        <w:rPr>
          <w:snapToGrid/>
        </w:rPr>
        <w:br/>
      </w:r>
      <w:r w:rsidR="00E44001">
        <w:t>Appendices D, E, F, G, H, I, J</w:t>
      </w:r>
    </w:p>
    <w:p w14:paraId="114627CF" w14:textId="77777777" w:rsidR="00E44001" w:rsidRPr="00E44001" w:rsidRDefault="00E44001" w:rsidP="00B834C6">
      <w:pPr>
        <w:rPr>
          <w:rFonts w:eastAsia="Times New Roman" w:cs="Arial"/>
          <w:szCs w:val="24"/>
        </w:rPr>
      </w:pPr>
      <w:r w:rsidRPr="00E44001">
        <w:rPr>
          <w:rFonts w:eastAsia="Times New Roman" w:cs="Arial"/>
          <w:szCs w:val="24"/>
        </w:rPr>
        <w:t>BSC proposes to NOT adopt Appendix Chapters D, E, F, G, H, I, and J of the 2024 UMC.</w:t>
      </w:r>
    </w:p>
    <w:p w14:paraId="79978351" w14:textId="77777777" w:rsidR="00E44001" w:rsidRDefault="00E44001" w:rsidP="00B834C6">
      <w:pPr>
        <w:rPr>
          <w:rFonts w:cs="Arial"/>
          <w:b/>
          <w:bCs/>
        </w:rPr>
      </w:pPr>
      <w:r w:rsidRPr="00E44001">
        <w:rPr>
          <w:rFonts w:cs="Arial"/>
          <w:b/>
          <w:bCs/>
        </w:rPr>
        <w:lastRenderedPageBreak/>
        <w:t>Appendix D – Fuel Supply: Manufactured/Mobile Home Parks and Recreational Vehicle Parks</w:t>
      </w:r>
    </w:p>
    <w:p w14:paraId="132DEC6F" w14:textId="77777777" w:rsidR="00E44001" w:rsidRDefault="00E44001" w:rsidP="00B834C6">
      <w:pPr>
        <w:rPr>
          <w:rFonts w:cs="Arial"/>
          <w:b/>
          <w:bCs/>
        </w:rPr>
      </w:pPr>
      <w:r w:rsidRPr="00E44001">
        <w:rPr>
          <w:rFonts w:cs="Arial"/>
          <w:b/>
          <w:bCs/>
        </w:rPr>
        <w:t>Appendix E – Sustainable Practices</w:t>
      </w:r>
    </w:p>
    <w:p w14:paraId="0D61DD7E" w14:textId="77777777" w:rsidR="00E44001" w:rsidRDefault="00E44001" w:rsidP="00B834C6">
      <w:pPr>
        <w:rPr>
          <w:rFonts w:cs="Arial"/>
          <w:b/>
          <w:bCs/>
        </w:rPr>
      </w:pPr>
      <w:r w:rsidRPr="00E44001">
        <w:rPr>
          <w:rFonts w:cs="Arial"/>
          <w:b/>
          <w:bCs/>
        </w:rPr>
        <w:t>Appendix F – Sizing of Venting Systems and Outdoor Combustion and Ventilation Opening Design</w:t>
      </w:r>
    </w:p>
    <w:p w14:paraId="13442471" w14:textId="77777777" w:rsidR="00E44001" w:rsidRDefault="00E44001" w:rsidP="00B834C6">
      <w:pPr>
        <w:rPr>
          <w:rFonts w:cs="Arial"/>
          <w:b/>
          <w:bCs/>
        </w:rPr>
      </w:pPr>
      <w:r w:rsidRPr="00E44001">
        <w:rPr>
          <w:rFonts w:cs="Arial"/>
          <w:b/>
          <w:bCs/>
        </w:rPr>
        <w:t>Appendix G – Example Calculation of Outdoor Air Rate</w:t>
      </w:r>
    </w:p>
    <w:p w14:paraId="310C4ED4" w14:textId="77777777" w:rsidR="00E44001" w:rsidRPr="00F63992" w:rsidRDefault="00E44001" w:rsidP="00B834C6">
      <w:pPr>
        <w:rPr>
          <w:rFonts w:cs="Arial"/>
          <w:b/>
          <w:bCs/>
        </w:rPr>
      </w:pPr>
      <w:r w:rsidRPr="00F63992">
        <w:rPr>
          <w:rFonts w:cs="Arial"/>
          <w:b/>
          <w:bCs/>
        </w:rPr>
        <w:t>Appendix H – Professional Qualifications</w:t>
      </w:r>
    </w:p>
    <w:p w14:paraId="7D287988" w14:textId="77777777" w:rsidR="00E44001" w:rsidRPr="00F63992" w:rsidRDefault="00E44001" w:rsidP="00B834C6">
      <w:pPr>
        <w:rPr>
          <w:rFonts w:cs="Arial"/>
          <w:b/>
          <w:bCs/>
        </w:rPr>
      </w:pPr>
      <w:r w:rsidRPr="00F63992">
        <w:rPr>
          <w:rFonts w:cs="Arial"/>
          <w:b/>
          <w:bCs/>
        </w:rPr>
        <w:t>Appendix I – Indoor Horticultural Facilities</w:t>
      </w:r>
    </w:p>
    <w:p w14:paraId="43793024" w14:textId="62449C2E" w:rsidR="00D557F1" w:rsidRPr="00F63992" w:rsidRDefault="00E44001" w:rsidP="00B834C6">
      <w:pPr>
        <w:rPr>
          <w:rFonts w:cs="Arial"/>
          <w:b/>
          <w:bCs/>
          <w:noProof/>
        </w:rPr>
      </w:pPr>
      <w:r w:rsidRPr="00F63992">
        <w:rPr>
          <w:rFonts w:cs="Arial"/>
          <w:b/>
          <w:bCs/>
        </w:rPr>
        <w:t>Appendix J – Clean Air Delivery</w:t>
      </w:r>
    </w:p>
    <w:p w14:paraId="5C6E6E06" w14:textId="77777777" w:rsidR="00D557F1" w:rsidRPr="0046521A" w:rsidRDefault="00D557F1" w:rsidP="00B834C6">
      <w:pPr>
        <w:pStyle w:val="Heading4"/>
        <w:spacing w:before="0"/>
        <w:ind w:left="0"/>
      </w:pPr>
      <w:r w:rsidRPr="0046521A">
        <w:t xml:space="preserve">Notation: </w:t>
      </w:r>
    </w:p>
    <w:p w14:paraId="25A85E74" w14:textId="4E4B80A5" w:rsidR="00C505A4" w:rsidRPr="0046521A" w:rsidRDefault="00D557F1" w:rsidP="00B834C6">
      <w:pPr>
        <w:rPr>
          <w:rFonts w:cs="Arial"/>
        </w:rPr>
      </w:pPr>
      <w:r w:rsidRPr="0046521A">
        <w:rPr>
          <w:rFonts w:cs="Arial"/>
        </w:rPr>
        <w:t xml:space="preserve">Authority: </w:t>
      </w:r>
      <w:r w:rsidR="00E44001" w:rsidRPr="00A64C06">
        <w:rPr>
          <w:rFonts w:cs="Arial"/>
          <w:szCs w:val="24"/>
        </w:rPr>
        <w:t>Health &amp; Safety Code Sections 18928, 18928.1</w:t>
      </w:r>
      <w:r w:rsidR="00E44001">
        <w:rPr>
          <w:rFonts w:cs="Arial"/>
          <w:szCs w:val="24"/>
        </w:rPr>
        <w:t>, 18930</w:t>
      </w:r>
      <w:r w:rsidR="00C505A4">
        <w:rPr>
          <w:rFonts w:cs="Arial"/>
          <w:szCs w:val="24"/>
        </w:rPr>
        <w:t xml:space="preserve">.5, </w:t>
      </w:r>
      <w:r w:rsidR="00E44001" w:rsidRPr="00A64C06">
        <w:rPr>
          <w:rFonts w:cs="Arial"/>
          <w:szCs w:val="24"/>
        </w:rPr>
        <w:t>18934.5</w:t>
      </w:r>
      <w:r w:rsidR="00C505A4">
        <w:rPr>
          <w:rFonts w:cs="Arial"/>
          <w:szCs w:val="24"/>
        </w:rPr>
        <w:t xml:space="preserve"> and 18949.6</w:t>
      </w:r>
    </w:p>
    <w:p w14:paraId="039709C7" w14:textId="30317192" w:rsidR="00686CFE" w:rsidRPr="00686CFE" w:rsidRDefault="00D557F1" w:rsidP="00686CFE">
      <w:pPr>
        <w:rPr>
          <w:rFonts w:cs="Arial"/>
        </w:rPr>
      </w:pPr>
      <w:r w:rsidRPr="0046521A">
        <w:rPr>
          <w:rFonts w:cs="Arial"/>
        </w:rPr>
        <w:t xml:space="preserve">Reference(s): </w:t>
      </w:r>
      <w:r w:rsidR="00E44001" w:rsidRPr="00A64C06">
        <w:rPr>
          <w:rFonts w:cs="Arial"/>
          <w:szCs w:val="24"/>
        </w:rPr>
        <w:t>Health &amp; Safety Code Sections 18928, 18928.1</w:t>
      </w:r>
      <w:r w:rsidR="00C505A4">
        <w:rPr>
          <w:rFonts w:cs="Arial"/>
          <w:szCs w:val="24"/>
        </w:rPr>
        <w:t>, 18930.5,</w:t>
      </w:r>
      <w:r w:rsidR="00E44001" w:rsidRPr="00A64C06">
        <w:rPr>
          <w:rFonts w:cs="Arial"/>
          <w:szCs w:val="24"/>
        </w:rPr>
        <w:t xml:space="preserve"> 18934.5</w:t>
      </w:r>
      <w:r w:rsidR="00C505A4">
        <w:rPr>
          <w:rFonts w:cs="Arial"/>
          <w:szCs w:val="24"/>
        </w:rPr>
        <w:t xml:space="preserve"> and 18949.6</w:t>
      </w:r>
    </w:p>
    <w:sectPr w:rsidR="00686CFE" w:rsidRPr="00686CFE" w:rsidSect="00AE16C2">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9E5EA" w14:textId="77777777" w:rsidR="00AE16C2" w:rsidRDefault="00AE16C2">
      <w:r>
        <w:separator/>
      </w:r>
    </w:p>
  </w:endnote>
  <w:endnote w:type="continuationSeparator" w:id="0">
    <w:p w14:paraId="5A3367D5" w14:textId="77777777" w:rsidR="00AE16C2" w:rsidRDefault="00AE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6D53" w14:textId="08946D4D"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Express Terms</w:t>
    </w:r>
    <w:r w:rsidR="00A8502F">
      <w:tab/>
    </w:r>
    <w:r w:rsidR="00E54255">
      <w:t xml:space="preserve">December </w:t>
    </w:r>
    <w:r w:rsidR="00914AF9">
      <w:t>30</w:t>
    </w:r>
    <w:r w:rsidR="00E54255">
      <w:t>, 2024</w:t>
    </w:r>
  </w:p>
  <w:p w14:paraId="0CAFC6F9" w14:textId="640B6117" w:rsidR="008908A5" w:rsidRDefault="002A45B6" w:rsidP="00AA0C1D">
    <w:pPr>
      <w:pStyle w:val="Footer"/>
      <w:tabs>
        <w:tab w:val="clear" w:pos="4320"/>
        <w:tab w:val="clear" w:pos="8640"/>
        <w:tab w:val="center" w:pos="4860"/>
        <w:tab w:val="right" w:pos="9180"/>
      </w:tabs>
      <w:rPr>
        <w:szCs w:val="16"/>
      </w:rPr>
    </w:pPr>
    <w:r>
      <w:rPr>
        <w:szCs w:val="16"/>
      </w:rPr>
      <w:t>BSC 01/24</w:t>
    </w:r>
    <w:r w:rsidR="008908A5">
      <w:rPr>
        <w:szCs w:val="16"/>
      </w:rPr>
      <w:t xml:space="preserve"> - Part</w:t>
    </w:r>
    <w:r w:rsidR="00A8502F">
      <w:rPr>
        <w:szCs w:val="16"/>
      </w:rPr>
      <w:t xml:space="preserve"> </w:t>
    </w:r>
    <w:r>
      <w:rPr>
        <w:szCs w:val="16"/>
      </w:rPr>
      <w:t>4</w:t>
    </w:r>
    <w:r w:rsidR="008908A5">
      <w:rPr>
        <w:szCs w:val="16"/>
      </w:rPr>
      <w:t xml:space="preserve"> -</w:t>
    </w:r>
    <w:r w:rsidR="00A8502F">
      <w:rPr>
        <w:szCs w:val="16"/>
      </w:rPr>
      <w:t xml:space="preserve"> </w:t>
    </w:r>
    <w:r>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B575CE">
      <w:rPr>
        <w:szCs w:val="16"/>
      </w:rPr>
      <w:t>F</w:t>
    </w:r>
    <w:r w:rsidR="00AF245C">
      <w:rPr>
        <w:szCs w:val="16"/>
      </w:rPr>
      <w:t>ET</w:t>
    </w:r>
    <w:r w:rsidR="00914AF9">
      <w:rPr>
        <w:szCs w:val="16"/>
      </w:rPr>
      <w:t xml:space="preserve"> - SOS Filing</w:t>
    </w:r>
  </w:p>
  <w:p w14:paraId="4E70EC50" w14:textId="0641A723" w:rsidR="008908A5" w:rsidRDefault="002A45B6" w:rsidP="00A8502F">
    <w:pPr>
      <w:pStyle w:val="Footer"/>
      <w:tabs>
        <w:tab w:val="clear" w:pos="4320"/>
        <w:tab w:val="clear" w:pos="8640"/>
        <w:tab w:val="center" w:pos="4860"/>
        <w:tab w:val="right" w:pos="9180"/>
      </w:tabs>
    </w:pPr>
    <w:r>
      <w:rPr>
        <w:szCs w:val="16"/>
      </w:rPr>
      <w:t xml:space="preserve">California Building Standards Commission </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3ED82" w14:textId="77777777" w:rsidR="00AE16C2" w:rsidRDefault="00AE16C2">
      <w:r>
        <w:separator/>
      </w:r>
    </w:p>
  </w:footnote>
  <w:footnote w:type="continuationSeparator" w:id="0">
    <w:p w14:paraId="0CD70201" w14:textId="77777777" w:rsidR="00AE16C2" w:rsidRDefault="00AE1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A5D72"/>
    <w:rsid w:val="000B136A"/>
    <w:rsid w:val="000B228C"/>
    <w:rsid w:val="000B4609"/>
    <w:rsid w:val="000B5D13"/>
    <w:rsid w:val="000E24B4"/>
    <w:rsid w:val="000E668B"/>
    <w:rsid w:val="00110B4A"/>
    <w:rsid w:val="00123F82"/>
    <w:rsid w:val="001617B5"/>
    <w:rsid w:val="00163F3A"/>
    <w:rsid w:val="00164809"/>
    <w:rsid w:val="00175449"/>
    <w:rsid w:val="001826F4"/>
    <w:rsid w:val="00190E7A"/>
    <w:rsid w:val="001C4F88"/>
    <w:rsid w:val="001D15D1"/>
    <w:rsid w:val="001D6449"/>
    <w:rsid w:val="001E0E55"/>
    <w:rsid w:val="001E2EAA"/>
    <w:rsid w:val="001E635B"/>
    <w:rsid w:val="001E71DE"/>
    <w:rsid w:val="001F2A94"/>
    <w:rsid w:val="001F6735"/>
    <w:rsid w:val="00202062"/>
    <w:rsid w:val="0020722D"/>
    <w:rsid w:val="00234A84"/>
    <w:rsid w:val="002537B1"/>
    <w:rsid w:val="002613E2"/>
    <w:rsid w:val="002678E5"/>
    <w:rsid w:val="00280AE7"/>
    <w:rsid w:val="00281832"/>
    <w:rsid w:val="002915CB"/>
    <w:rsid w:val="00295E27"/>
    <w:rsid w:val="002965E0"/>
    <w:rsid w:val="002A45B6"/>
    <w:rsid w:val="002B5C8B"/>
    <w:rsid w:val="002D3F86"/>
    <w:rsid w:val="002F6ED5"/>
    <w:rsid w:val="00301808"/>
    <w:rsid w:val="0030639B"/>
    <w:rsid w:val="00332C1D"/>
    <w:rsid w:val="00340E3F"/>
    <w:rsid w:val="00351E2B"/>
    <w:rsid w:val="00353B32"/>
    <w:rsid w:val="003641DE"/>
    <w:rsid w:val="00364971"/>
    <w:rsid w:val="003942B6"/>
    <w:rsid w:val="003B7526"/>
    <w:rsid w:val="003C56D4"/>
    <w:rsid w:val="003E0D9B"/>
    <w:rsid w:val="00421C03"/>
    <w:rsid w:val="00422BE7"/>
    <w:rsid w:val="00446845"/>
    <w:rsid w:val="00456807"/>
    <w:rsid w:val="00462492"/>
    <w:rsid w:val="0046521A"/>
    <w:rsid w:val="0048299A"/>
    <w:rsid w:val="004957C8"/>
    <w:rsid w:val="004A42C1"/>
    <w:rsid w:val="004B2AB9"/>
    <w:rsid w:val="004C48A0"/>
    <w:rsid w:val="004D7520"/>
    <w:rsid w:val="00513E2D"/>
    <w:rsid w:val="00541492"/>
    <w:rsid w:val="005417DB"/>
    <w:rsid w:val="00563190"/>
    <w:rsid w:val="00593DDD"/>
    <w:rsid w:val="005E162F"/>
    <w:rsid w:val="005F1F14"/>
    <w:rsid w:val="00600471"/>
    <w:rsid w:val="0061175B"/>
    <w:rsid w:val="006169B9"/>
    <w:rsid w:val="00642758"/>
    <w:rsid w:val="00664F8A"/>
    <w:rsid w:val="0066622F"/>
    <w:rsid w:val="00686CFE"/>
    <w:rsid w:val="0069558C"/>
    <w:rsid w:val="006A0845"/>
    <w:rsid w:val="006A21F1"/>
    <w:rsid w:val="006B747C"/>
    <w:rsid w:val="006D1470"/>
    <w:rsid w:val="0070689B"/>
    <w:rsid w:val="00710900"/>
    <w:rsid w:val="0073368F"/>
    <w:rsid w:val="0073479C"/>
    <w:rsid w:val="00737FA0"/>
    <w:rsid w:val="00750097"/>
    <w:rsid w:val="007518DF"/>
    <w:rsid w:val="00752925"/>
    <w:rsid w:val="00767398"/>
    <w:rsid w:val="00767766"/>
    <w:rsid w:val="007B0231"/>
    <w:rsid w:val="007B4553"/>
    <w:rsid w:val="007D4133"/>
    <w:rsid w:val="007E1F70"/>
    <w:rsid w:val="0081299A"/>
    <w:rsid w:val="008236F5"/>
    <w:rsid w:val="0083127A"/>
    <w:rsid w:val="00860D91"/>
    <w:rsid w:val="008908A5"/>
    <w:rsid w:val="008911A0"/>
    <w:rsid w:val="008A2AC5"/>
    <w:rsid w:val="008A63B1"/>
    <w:rsid w:val="008B6F4E"/>
    <w:rsid w:val="008E36A8"/>
    <w:rsid w:val="008E3D81"/>
    <w:rsid w:val="008F1AE2"/>
    <w:rsid w:val="008F2193"/>
    <w:rsid w:val="00904F97"/>
    <w:rsid w:val="0090753D"/>
    <w:rsid w:val="00914AF9"/>
    <w:rsid w:val="00926A8A"/>
    <w:rsid w:val="00945D7C"/>
    <w:rsid w:val="00965AAB"/>
    <w:rsid w:val="00975FF7"/>
    <w:rsid w:val="009A693A"/>
    <w:rsid w:val="009B75E7"/>
    <w:rsid w:val="009C2981"/>
    <w:rsid w:val="009C529A"/>
    <w:rsid w:val="009D60C1"/>
    <w:rsid w:val="009E0E79"/>
    <w:rsid w:val="009E6B12"/>
    <w:rsid w:val="009F23ED"/>
    <w:rsid w:val="00A138AA"/>
    <w:rsid w:val="00A342D0"/>
    <w:rsid w:val="00A50B49"/>
    <w:rsid w:val="00A60CA1"/>
    <w:rsid w:val="00A76E67"/>
    <w:rsid w:val="00A81002"/>
    <w:rsid w:val="00A8502F"/>
    <w:rsid w:val="00A945EE"/>
    <w:rsid w:val="00AA0C1D"/>
    <w:rsid w:val="00AC1F10"/>
    <w:rsid w:val="00AD280C"/>
    <w:rsid w:val="00AE16C2"/>
    <w:rsid w:val="00AF245C"/>
    <w:rsid w:val="00AF4E96"/>
    <w:rsid w:val="00B11AD5"/>
    <w:rsid w:val="00B12076"/>
    <w:rsid w:val="00B575CE"/>
    <w:rsid w:val="00B61DC7"/>
    <w:rsid w:val="00B834C6"/>
    <w:rsid w:val="00BC1102"/>
    <w:rsid w:val="00BC3F6E"/>
    <w:rsid w:val="00BE48F6"/>
    <w:rsid w:val="00BF251B"/>
    <w:rsid w:val="00BF2AE4"/>
    <w:rsid w:val="00C36475"/>
    <w:rsid w:val="00C43FDD"/>
    <w:rsid w:val="00C44C36"/>
    <w:rsid w:val="00C4609D"/>
    <w:rsid w:val="00C505A4"/>
    <w:rsid w:val="00C64529"/>
    <w:rsid w:val="00C67B72"/>
    <w:rsid w:val="00C70AE4"/>
    <w:rsid w:val="00C74CC9"/>
    <w:rsid w:val="00C80CD9"/>
    <w:rsid w:val="00C871EC"/>
    <w:rsid w:val="00CB0D1F"/>
    <w:rsid w:val="00CB4F72"/>
    <w:rsid w:val="00CD71EA"/>
    <w:rsid w:val="00CE406D"/>
    <w:rsid w:val="00CE56AD"/>
    <w:rsid w:val="00CF3372"/>
    <w:rsid w:val="00D205E3"/>
    <w:rsid w:val="00D275E7"/>
    <w:rsid w:val="00D4435D"/>
    <w:rsid w:val="00D557F1"/>
    <w:rsid w:val="00D75ED1"/>
    <w:rsid w:val="00D830A1"/>
    <w:rsid w:val="00D91AE2"/>
    <w:rsid w:val="00DA5CDA"/>
    <w:rsid w:val="00E100C3"/>
    <w:rsid w:val="00E119F2"/>
    <w:rsid w:val="00E16084"/>
    <w:rsid w:val="00E3790F"/>
    <w:rsid w:val="00E44001"/>
    <w:rsid w:val="00E46E3A"/>
    <w:rsid w:val="00E53D35"/>
    <w:rsid w:val="00E54255"/>
    <w:rsid w:val="00E929AD"/>
    <w:rsid w:val="00EB257F"/>
    <w:rsid w:val="00EC27FE"/>
    <w:rsid w:val="00EC55B6"/>
    <w:rsid w:val="00ED27E1"/>
    <w:rsid w:val="00EE0057"/>
    <w:rsid w:val="00EF26E2"/>
    <w:rsid w:val="00F057BF"/>
    <w:rsid w:val="00F152F2"/>
    <w:rsid w:val="00F17139"/>
    <w:rsid w:val="00F35590"/>
    <w:rsid w:val="00F4291A"/>
    <w:rsid w:val="00F61E87"/>
    <w:rsid w:val="00F63992"/>
    <w:rsid w:val="00F768B4"/>
    <w:rsid w:val="00F97C83"/>
    <w:rsid w:val="00FC05C1"/>
    <w:rsid w:val="00FC332A"/>
    <w:rsid w:val="00FD45EA"/>
    <w:rsid w:val="00FE4917"/>
    <w:rsid w:val="00FF11EA"/>
    <w:rsid w:val="00FF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F63992"/>
    <w:pPr>
      <w:keepNext/>
      <w:keepLines/>
      <w:spacing w:before="36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F63992"/>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6A0845"/>
    <w:rPr>
      <w:sz w:val="16"/>
      <w:szCs w:val="16"/>
    </w:rPr>
  </w:style>
  <w:style w:type="paragraph" w:styleId="CommentText">
    <w:name w:val="annotation text"/>
    <w:basedOn w:val="Normal"/>
    <w:link w:val="CommentTextChar"/>
    <w:unhideWhenUsed/>
    <w:rsid w:val="006A0845"/>
    <w:rPr>
      <w:sz w:val="20"/>
    </w:rPr>
  </w:style>
  <w:style w:type="character" w:customStyle="1" w:styleId="CommentTextChar">
    <w:name w:val="Comment Text Char"/>
    <w:basedOn w:val="DefaultParagraphFont"/>
    <w:link w:val="CommentText"/>
    <w:rsid w:val="006A0845"/>
    <w:rPr>
      <w:rFonts w:ascii="Arial" w:hAnsi="Arial"/>
      <w:snapToGrid w:val="0"/>
    </w:rPr>
  </w:style>
  <w:style w:type="paragraph" w:styleId="CommentSubject">
    <w:name w:val="annotation subject"/>
    <w:basedOn w:val="CommentText"/>
    <w:next w:val="CommentText"/>
    <w:link w:val="CommentSubjectChar"/>
    <w:semiHidden/>
    <w:unhideWhenUsed/>
    <w:rsid w:val="006A0845"/>
    <w:rPr>
      <w:b/>
      <w:bCs/>
    </w:rPr>
  </w:style>
  <w:style w:type="character" w:customStyle="1" w:styleId="CommentSubjectChar">
    <w:name w:val="Comment Subject Char"/>
    <w:basedOn w:val="CommentTextChar"/>
    <w:link w:val="CommentSubject"/>
    <w:semiHidden/>
    <w:rsid w:val="006A0845"/>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1064</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BSC 01/24-ET-PT4</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01/24-ET-PT4</dc:title>
  <dc:creator>CBSC</dc:creator>
  <cp:lastModifiedBy>Maynard, Beth@DGS</cp:lastModifiedBy>
  <cp:revision>3</cp:revision>
  <cp:lastPrinted>2020-02-18T23:46:00Z</cp:lastPrinted>
  <dcterms:created xsi:type="dcterms:W3CDTF">2024-12-18T17:20:00Z</dcterms:created>
  <dcterms:modified xsi:type="dcterms:W3CDTF">2024-12-30T22:06:00Z</dcterms:modified>
</cp:coreProperties>
</file>