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1395476C" w:rsidR="00767766" w:rsidRPr="0046521A" w:rsidRDefault="00AF1299"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9113BF">
        <w:rPr>
          <w:rFonts w:cs="Arial"/>
        </w:rPr>
        <w:t>STATE FIRE MARSHAL</w:t>
      </w:r>
      <w:r w:rsidR="00767766" w:rsidRPr="0046521A">
        <w:rPr>
          <w:rFonts w:cs="Arial"/>
        </w:rPr>
        <w:br/>
        <w:t xml:space="preserve">REGARDING THE </w:t>
      </w:r>
      <w:r w:rsidR="009113BF">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9113BF">
        <w:rPr>
          <w:rFonts w:cs="Arial"/>
        </w:rPr>
        <w:t>3</w:t>
      </w:r>
      <w:r w:rsidR="001F2A94">
        <w:rPr>
          <w:rFonts w:cs="Arial"/>
        </w:rPr>
        <w:br/>
      </w:r>
      <w:r w:rsidR="00767766" w:rsidRPr="0046521A">
        <w:rPr>
          <w:rFonts w:cs="Arial"/>
        </w:rPr>
        <w:t>(</w:t>
      </w:r>
      <w:r w:rsidR="009113BF">
        <w:rPr>
          <w:rFonts w:cs="Arial"/>
        </w:rPr>
        <w:t>SFM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228A588A" w:rsidR="002537B1" w:rsidRPr="0046521A" w:rsidRDefault="00AF1299" w:rsidP="00AA0C1D">
      <w:pPr>
        <w:pStyle w:val="Heading2"/>
        <w:spacing w:before="0"/>
      </w:pPr>
      <w:r>
        <w:rPr>
          <w:rFonts w:cs="Arial"/>
        </w:rPr>
        <w:t>FINAL</w:t>
      </w:r>
      <w:r w:rsidR="00767766" w:rsidRPr="0046521A">
        <w:t xml:space="preserve"> EXPRESS TERMS</w:t>
      </w:r>
      <w:r w:rsidR="0083127A" w:rsidRPr="0046521A">
        <w:t xml:space="preserve"> </w:t>
      </w:r>
    </w:p>
    <w:p w14:paraId="3C2373DE" w14:textId="1E049845" w:rsidR="00CD71EA" w:rsidRPr="0046521A" w:rsidRDefault="00AA0C1D" w:rsidP="00AA0C1D">
      <w:pPr>
        <w:pStyle w:val="Heading3"/>
        <w:spacing w:before="0"/>
        <w:rPr>
          <w:noProof/>
        </w:rPr>
      </w:pPr>
      <w:r w:rsidRPr="0046521A">
        <w:t>ITEM</w:t>
      </w:r>
      <w:r w:rsidR="00CD71EA" w:rsidRPr="0046521A">
        <w:t xml:space="preserve"> </w:t>
      </w:r>
      <w:r w:rsidR="00ED3853">
        <w:rPr>
          <w:noProof/>
        </w:rPr>
        <w:t>1</w:t>
      </w:r>
      <w:r w:rsidR="00C80CD9" w:rsidRPr="0046521A">
        <w:rPr>
          <w:snapToGrid/>
        </w:rPr>
        <w:br/>
      </w:r>
      <w:r w:rsidR="00ED3853">
        <w:t>Article</w:t>
      </w:r>
      <w:r w:rsidR="00CD71EA" w:rsidRPr="0046521A">
        <w:t xml:space="preserve"> </w:t>
      </w:r>
      <w:r w:rsidR="00ED3853">
        <w:rPr>
          <w:noProof/>
        </w:rPr>
        <w:t>89 General Provisions</w:t>
      </w:r>
    </w:p>
    <w:p w14:paraId="3CD25487" w14:textId="2F88D171" w:rsidR="00ED3853" w:rsidRPr="00ED3853" w:rsidRDefault="00ED3853" w:rsidP="009C3DC7">
      <w:pPr>
        <w:spacing w:after="0"/>
        <w:rPr>
          <w:rFonts w:eastAsia="Times New Roman" w:cs="Arial"/>
          <w:snapToGrid/>
          <w:szCs w:val="24"/>
        </w:rPr>
      </w:pPr>
      <w:bookmarkStart w:id="0" w:name="_Hlk157091122"/>
      <w:r w:rsidRPr="00ED3853">
        <w:rPr>
          <w:rFonts w:eastAsia="Times New Roman" w:cs="Arial"/>
          <w:snapToGrid/>
          <w:szCs w:val="24"/>
        </w:rPr>
        <w:t xml:space="preserve">[The SFM is proposing </w:t>
      </w:r>
      <w:r w:rsidR="00CE7897">
        <w:rPr>
          <w:rFonts w:eastAsia="Times New Roman" w:cs="Arial"/>
          <w:snapToGrid/>
          <w:szCs w:val="24"/>
        </w:rPr>
        <w:t>the adoption of</w:t>
      </w:r>
      <w:r w:rsidRPr="00ED3853">
        <w:rPr>
          <w:rFonts w:eastAsia="Times New Roman" w:cs="Arial"/>
          <w:snapToGrid/>
          <w:szCs w:val="24"/>
        </w:rPr>
        <w:t xml:space="preserve"> </w:t>
      </w:r>
      <w:r w:rsidR="009C3DC7">
        <w:rPr>
          <w:rFonts w:eastAsia="Times New Roman" w:cs="Arial"/>
          <w:snapToGrid/>
          <w:szCs w:val="24"/>
        </w:rPr>
        <w:t>s</w:t>
      </w:r>
      <w:r w:rsidR="00CE7897" w:rsidRPr="00ED3853">
        <w:rPr>
          <w:rFonts w:eastAsia="Times New Roman" w:cs="Arial"/>
          <w:snapToGrid/>
          <w:szCs w:val="24"/>
        </w:rPr>
        <w:t xml:space="preserve">ection 89.101 </w:t>
      </w:r>
      <w:r w:rsidR="009C3DC7">
        <w:rPr>
          <w:rFonts w:eastAsia="Times New Roman" w:cs="Arial"/>
          <w:snapToGrid/>
          <w:szCs w:val="24"/>
        </w:rPr>
        <w:t>through s</w:t>
      </w:r>
      <w:r w:rsidR="00372AE5">
        <w:rPr>
          <w:rFonts w:eastAsia="Times New Roman" w:cs="Arial"/>
          <w:snapToGrid/>
          <w:szCs w:val="24"/>
        </w:rPr>
        <w:t>ection</w:t>
      </w:r>
      <w:r w:rsidR="009C3DC7">
        <w:rPr>
          <w:rFonts w:eastAsia="Times New Roman" w:cs="Arial"/>
          <w:snapToGrid/>
          <w:szCs w:val="24"/>
        </w:rPr>
        <w:t xml:space="preserve"> 89.101.12,</w:t>
      </w:r>
      <w:r w:rsidR="00372AE5">
        <w:rPr>
          <w:rFonts w:eastAsia="Times New Roman" w:cs="Arial"/>
          <w:snapToGrid/>
          <w:szCs w:val="24"/>
        </w:rPr>
        <w:t xml:space="preserve"> </w:t>
      </w:r>
      <w:r w:rsidR="009C3DC7">
        <w:rPr>
          <w:rFonts w:eastAsia="Times New Roman" w:cs="Arial"/>
          <w:snapToGrid/>
          <w:szCs w:val="24"/>
        </w:rPr>
        <w:t>and section 89.111.1 through 89.111.10 and</w:t>
      </w:r>
      <w:r w:rsidR="00372AE5">
        <w:rPr>
          <w:rFonts w:eastAsia="Times New Roman" w:cs="Arial"/>
          <w:snapToGrid/>
          <w:szCs w:val="24"/>
        </w:rPr>
        <w:t xml:space="preserve"> </w:t>
      </w:r>
      <w:r w:rsidR="009C3DC7">
        <w:rPr>
          <w:rFonts w:eastAsia="Times New Roman" w:cs="Arial"/>
          <w:snapToGrid/>
          <w:szCs w:val="24"/>
        </w:rPr>
        <w:t>carrying</w:t>
      </w:r>
      <w:r w:rsidR="00E30C75">
        <w:rPr>
          <w:rFonts w:eastAsia="Times New Roman" w:cs="Arial"/>
          <w:snapToGrid/>
          <w:szCs w:val="24"/>
        </w:rPr>
        <w:t xml:space="preserve"> forward ex</w:t>
      </w:r>
      <w:r w:rsidRPr="00ED3853">
        <w:rPr>
          <w:rFonts w:eastAsia="Times New Roman" w:cs="Arial"/>
          <w:snapToGrid/>
          <w:szCs w:val="24"/>
        </w:rPr>
        <w:t xml:space="preserve">isting </w:t>
      </w:r>
      <w:r w:rsidR="00CE7897">
        <w:rPr>
          <w:rFonts w:eastAsia="Times New Roman" w:cs="Arial"/>
          <w:snapToGrid/>
          <w:szCs w:val="24"/>
        </w:rPr>
        <w:t>amendments</w:t>
      </w:r>
      <w:r w:rsidRPr="00ED3853">
        <w:rPr>
          <w:rFonts w:eastAsia="Times New Roman" w:cs="Arial"/>
          <w:snapToGrid/>
          <w:szCs w:val="24"/>
        </w:rPr>
        <w:t xml:space="preserve"> </w:t>
      </w:r>
      <w:r w:rsidR="00CE7897">
        <w:rPr>
          <w:rFonts w:eastAsia="Times New Roman" w:cs="Arial"/>
          <w:snapToGrid/>
          <w:szCs w:val="24"/>
        </w:rPr>
        <w:t xml:space="preserve">with modifications </w:t>
      </w:r>
      <w:r w:rsidRPr="00ED3853">
        <w:rPr>
          <w:rFonts w:eastAsia="Times New Roman" w:cs="Arial"/>
          <w:snapToGrid/>
          <w:szCs w:val="24"/>
        </w:rPr>
        <w:t>shown below.]</w:t>
      </w:r>
    </w:p>
    <w:p w14:paraId="4E43403D" w14:textId="0CA43CA1" w:rsidR="007B4553" w:rsidRPr="0046521A" w:rsidRDefault="007B4553" w:rsidP="007B4553">
      <w:pPr>
        <w:pStyle w:val="Heading4"/>
        <w:rPr>
          <w:noProof/>
        </w:rPr>
      </w:pPr>
      <w:bookmarkStart w:id="1" w:name="_Hlk149811491"/>
      <w:bookmarkEnd w:id="0"/>
      <w:r w:rsidRPr="0046521A">
        <w:t xml:space="preserve">ITEM </w:t>
      </w:r>
      <w:r w:rsidR="00ED3853">
        <w:rPr>
          <w:noProof/>
        </w:rPr>
        <w:t>1-1</w:t>
      </w:r>
      <w:r w:rsidRPr="0046521A">
        <w:rPr>
          <w:snapToGrid/>
        </w:rPr>
        <w:br/>
      </w:r>
      <w:r w:rsidRPr="0046521A">
        <w:t xml:space="preserve">Section </w:t>
      </w:r>
      <w:r w:rsidR="00ED3853">
        <w:rPr>
          <w:noProof/>
        </w:rPr>
        <w:t>89.101</w:t>
      </w:r>
      <w:r w:rsidR="003417DA">
        <w:rPr>
          <w:noProof/>
        </w:rPr>
        <w:t>.1</w:t>
      </w:r>
      <w:r w:rsidR="00ED3853">
        <w:rPr>
          <w:noProof/>
        </w:rPr>
        <w:t xml:space="preserve"> Title</w:t>
      </w:r>
    </w:p>
    <w:bookmarkEnd w:id="1"/>
    <w:p w14:paraId="1806F216" w14:textId="2FBCDFF6" w:rsidR="00ED3853" w:rsidRPr="00ED3853" w:rsidRDefault="00ED3853" w:rsidP="00ED3853">
      <w:pPr>
        <w:autoSpaceDE w:val="0"/>
        <w:autoSpaceDN w:val="0"/>
        <w:adjustRightInd w:val="0"/>
        <w:spacing w:after="0"/>
        <w:ind w:left="360"/>
        <w:rPr>
          <w:rFonts w:eastAsia="Times New Roman" w:cs="Arial"/>
          <w:i/>
          <w:iCs/>
          <w:snapToGrid/>
          <w:szCs w:val="24"/>
        </w:rPr>
      </w:pPr>
      <w:r w:rsidRPr="00ED3853">
        <w:rPr>
          <w:rFonts w:eastAsia="Times New Roman" w:cs="Arial"/>
          <w:b/>
          <w:bCs/>
          <w:i/>
          <w:iCs/>
          <w:snapToGrid/>
          <w:szCs w:val="24"/>
        </w:rPr>
        <w:t xml:space="preserve">89.101.1 Title. </w:t>
      </w:r>
      <w:r w:rsidRPr="00ED3853">
        <w:rPr>
          <w:rFonts w:eastAsia="Times New Roman" w:cs="Arial"/>
          <w:i/>
          <w:iCs/>
          <w:snapToGrid/>
          <w:szCs w:val="24"/>
        </w:rPr>
        <w:t xml:space="preserve">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ED3853">
        <w:rPr>
          <w:rFonts w:eastAsia="Times New Roman" w:cs="Arial"/>
          <w:i/>
          <w:iCs/>
          <w:strike/>
          <w:snapToGrid/>
          <w:szCs w:val="24"/>
        </w:rPr>
        <w:t>2020</w:t>
      </w:r>
      <w:r w:rsidRPr="00ED3853">
        <w:rPr>
          <w:rFonts w:eastAsia="Times New Roman" w:cs="Arial"/>
          <w:i/>
          <w:iCs/>
          <w:snapToGrid/>
          <w:szCs w:val="24"/>
        </w:rPr>
        <w:t xml:space="preserve"> </w:t>
      </w:r>
      <w:r w:rsidRPr="00ED3853">
        <w:rPr>
          <w:rFonts w:eastAsia="Times New Roman" w:cs="Arial"/>
          <w:i/>
          <w:iCs/>
          <w:snapToGrid/>
          <w:szCs w:val="24"/>
          <w:u w:val="single"/>
        </w:rPr>
        <w:t>2023</w:t>
      </w:r>
      <w:r>
        <w:rPr>
          <w:rFonts w:eastAsia="Times New Roman" w:cs="Arial"/>
          <w:i/>
          <w:iCs/>
          <w:snapToGrid/>
          <w:szCs w:val="24"/>
        </w:rPr>
        <w:t xml:space="preserve"> </w:t>
      </w:r>
      <w:r w:rsidRPr="00ED3853">
        <w:rPr>
          <w:rFonts w:eastAsia="Times New Roman" w:cs="Arial"/>
          <w:i/>
          <w:iCs/>
          <w:snapToGrid/>
          <w:szCs w:val="24"/>
        </w:rPr>
        <w:t>National Electrical Code of the National Fire Protection Association with necessary California amendments.</w:t>
      </w:r>
    </w:p>
    <w:p w14:paraId="2C1B2CED" w14:textId="77777777" w:rsidR="00005708" w:rsidRPr="0046521A" w:rsidRDefault="00005708" w:rsidP="003641DE">
      <w:pPr>
        <w:pStyle w:val="Heading4"/>
        <w:ind w:left="0"/>
      </w:pPr>
      <w:r w:rsidRPr="0046521A">
        <w:t xml:space="preserve">Notation: </w:t>
      </w:r>
    </w:p>
    <w:p w14:paraId="6347862A" w14:textId="77777777" w:rsidR="00CE7897" w:rsidRDefault="00005708" w:rsidP="00AA0C1D">
      <w:pPr>
        <w:rPr>
          <w:rFonts w:cs="Arial"/>
          <w:szCs w:val="24"/>
        </w:rPr>
      </w:pPr>
      <w:bookmarkStart w:id="2" w:name="_Hlk157532799"/>
      <w:r w:rsidRPr="0046521A">
        <w:rPr>
          <w:rFonts w:cs="Arial"/>
        </w:rPr>
        <w:t xml:space="preserve">Authority: </w:t>
      </w:r>
      <w:r w:rsidR="00513033" w:rsidRPr="005A6023">
        <w:rPr>
          <w:rFonts w:cs="Arial"/>
          <w:szCs w:val="24"/>
        </w:rPr>
        <w:t xml:space="preserve">Health and Safety Code Sections </w:t>
      </w:r>
      <w:bookmarkStart w:id="3" w:name="_Hlk125448922"/>
      <w:r w:rsidR="00513033" w:rsidRPr="005A6023">
        <w:rPr>
          <w:rFonts w:cs="Arial"/>
          <w:bCs/>
          <w:szCs w:val="24"/>
        </w:rPr>
        <w:t xml:space="preserve">1250, 1502, 1568.02, 1569.72 - 1569.78, 1597.44 - 1597.65, </w:t>
      </w:r>
      <w:r w:rsidR="00513033" w:rsidRPr="005A6023">
        <w:rPr>
          <w:rFonts w:cs="Arial"/>
          <w:szCs w:val="24"/>
        </w:rPr>
        <w:t xml:space="preserve">13108, </w:t>
      </w:r>
      <w:r w:rsidR="00513033" w:rsidRPr="005A6023">
        <w:rPr>
          <w:rFonts w:cs="Arial"/>
          <w:bCs/>
          <w:szCs w:val="24"/>
        </w:rPr>
        <w:t xml:space="preserve">13108.5, 13114, </w:t>
      </w:r>
      <w:r w:rsidR="00513033" w:rsidRPr="005A6023">
        <w:rPr>
          <w:rFonts w:cs="Arial"/>
          <w:szCs w:val="24"/>
        </w:rPr>
        <w:t xml:space="preserve">13143, </w:t>
      </w:r>
      <w:r w:rsidR="00513033" w:rsidRPr="005A6023">
        <w:rPr>
          <w:rFonts w:cs="Arial"/>
          <w:bCs/>
          <w:szCs w:val="24"/>
        </w:rPr>
        <w:t xml:space="preserve">13143.2, 13143.6, </w:t>
      </w:r>
      <w:r w:rsidR="00513033" w:rsidRPr="005A6023">
        <w:rPr>
          <w:rFonts w:cs="Arial"/>
          <w:szCs w:val="24"/>
        </w:rPr>
        <w:t xml:space="preserve">13145, 13146, 13211, 16022.5, 17921, 18928, 18949.2, 25500 through 25545; Government Code Sections 51176, 51177, 51178, 51179 and 51189; </w:t>
      </w:r>
      <w:r w:rsidR="00513033" w:rsidRPr="005A6023">
        <w:rPr>
          <w:rFonts w:cs="Arial"/>
          <w:bCs/>
          <w:szCs w:val="24"/>
        </w:rPr>
        <w:t xml:space="preserve">Public Education Code 17074.50; </w:t>
      </w:r>
      <w:r w:rsidR="00513033" w:rsidRPr="005A6023">
        <w:rPr>
          <w:rFonts w:cs="Arial"/>
          <w:szCs w:val="24"/>
        </w:rPr>
        <w:lastRenderedPageBreak/>
        <w:t>Public Resources Code Sections 4201 through 4204.</w:t>
      </w:r>
      <w:bookmarkEnd w:id="3"/>
      <w:r w:rsidR="00513033" w:rsidRPr="005A6023" w:rsidDel="00BC673B">
        <w:rPr>
          <w:rFonts w:cs="Arial"/>
          <w:szCs w:val="24"/>
        </w:rPr>
        <w:t xml:space="preserve"> </w:t>
      </w:r>
    </w:p>
    <w:p w14:paraId="562B4391" w14:textId="20365939" w:rsidR="00513033" w:rsidRPr="001613B2" w:rsidRDefault="00005708" w:rsidP="00AA0C1D">
      <w:pPr>
        <w:rPr>
          <w:rFonts w:cs="Arial"/>
          <w:szCs w:val="24"/>
        </w:rPr>
      </w:pPr>
      <w:r w:rsidRPr="0046521A">
        <w:rPr>
          <w:rFonts w:cs="Arial"/>
        </w:rPr>
        <w:t xml:space="preserve">Reference(s): </w:t>
      </w:r>
      <w:r w:rsidR="00513033" w:rsidRPr="005A6023">
        <w:rPr>
          <w:rFonts w:cs="Arial"/>
          <w:szCs w:val="24"/>
        </w:rPr>
        <w:t xml:space="preserve">Health and Safety Code Sections </w:t>
      </w:r>
      <w:bookmarkStart w:id="4" w:name="_Hlk125448960"/>
      <w:r w:rsidR="00513033" w:rsidRPr="005A6023">
        <w:rPr>
          <w:rFonts w:cs="Arial"/>
          <w:szCs w:val="24"/>
        </w:rPr>
        <w:t>13108, 13108.5, 13113, 13113.5, 13114, 13132, 13132.7, 13133, 13135, 13143, 13143.1, 13143.2, 13143.6, 13143.9, 13145, 13146, 13210, 13211, 16022.5, 17921.</w:t>
      </w:r>
      <w:bookmarkEnd w:id="4"/>
      <w:bookmarkEnd w:id="2"/>
    </w:p>
    <w:p w14:paraId="25310C7D" w14:textId="722FDB2A" w:rsidR="00ED3853" w:rsidRPr="00F03FB5" w:rsidRDefault="00ED3853" w:rsidP="00F03FB5">
      <w:pPr>
        <w:pStyle w:val="Heading3"/>
      </w:pPr>
      <w:r w:rsidRPr="00F03FB5">
        <w:t>ITEM 2</w:t>
      </w:r>
      <w:r w:rsidRPr="00F03FB5">
        <w:br/>
        <w:t>Article 90 Introduction</w:t>
      </w:r>
    </w:p>
    <w:p w14:paraId="5758392C" w14:textId="0EC41389" w:rsidR="00A10BA7" w:rsidRPr="00A10BA7" w:rsidRDefault="00ED3853" w:rsidP="008E558A">
      <w:pPr>
        <w:rPr>
          <w:rFonts w:eastAsia="Times New Roman" w:cs="Arial"/>
          <w:snapToGrid/>
          <w:szCs w:val="24"/>
        </w:rPr>
      </w:pPr>
      <w:r w:rsidRPr="00ED3853">
        <w:rPr>
          <w:rFonts w:eastAsia="Times New Roman" w:cs="Arial"/>
          <w:snapToGrid/>
          <w:szCs w:val="24"/>
        </w:rPr>
        <w:t>[</w:t>
      </w:r>
      <w:bookmarkStart w:id="5" w:name="_Hlk157091238"/>
      <w:r w:rsidRPr="00ED3853">
        <w:rPr>
          <w:rFonts w:eastAsia="Times New Roman" w:cs="Arial"/>
          <w:snapToGrid/>
          <w:szCs w:val="24"/>
        </w:rPr>
        <w:t>The SFM is proposing the adoption of Article 90</w:t>
      </w:r>
      <w:r w:rsidR="004A08D8">
        <w:rPr>
          <w:rFonts w:eastAsia="Times New Roman" w:cs="Arial"/>
          <w:snapToGrid/>
          <w:szCs w:val="24"/>
        </w:rPr>
        <w:t xml:space="preserve"> without amendments</w:t>
      </w:r>
      <w:r w:rsidRPr="00ED3853">
        <w:rPr>
          <w:rFonts w:eastAsia="Times New Roman" w:cs="Arial"/>
          <w:snapToGrid/>
          <w:szCs w:val="24"/>
        </w:rPr>
        <w:t>.]</w:t>
      </w:r>
      <w:bookmarkEnd w:id="5"/>
    </w:p>
    <w:p w14:paraId="01663AE6" w14:textId="77777777" w:rsidR="00513033" w:rsidRPr="0046521A" w:rsidRDefault="00513033" w:rsidP="008E558A">
      <w:pPr>
        <w:pStyle w:val="Heading4"/>
        <w:spacing w:before="0"/>
        <w:ind w:left="0"/>
      </w:pPr>
      <w:r w:rsidRPr="0046521A">
        <w:t xml:space="preserve">Notation: </w:t>
      </w:r>
    </w:p>
    <w:p w14:paraId="4555D289"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7B504C7A" w14:textId="394D2236" w:rsidR="00ED3853" w:rsidRPr="001613B2" w:rsidRDefault="00513033" w:rsidP="00AA0C1D">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8A10FC7" w14:textId="716DB878" w:rsidR="00885EFE" w:rsidRPr="00F03FB5" w:rsidRDefault="00885EFE" w:rsidP="00F03FB5">
      <w:pPr>
        <w:pStyle w:val="Heading3"/>
      </w:pPr>
      <w:r w:rsidRPr="00F03FB5">
        <w:t>ITEM 3</w:t>
      </w:r>
      <w:r w:rsidRPr="00F03FB5">
        <w:br/>
        <w:t>Chapter 1 General</w:t>
      </w:r>
    </w:p>
    <w:p w14:paraId="35E726DA" w14:textId="1CD26C27" w:rsidR="00885EFE" w:rsidRDefault="00E817C3" w:rsidP="008E558A">
      <w:pPr>
        <w:rPr>
          <w:rFonts w:eastAsia="Times New Roman" w:cs="Arial"/>
          <w:snapToGrid/>
          <w:szCs w:val="24"/>
        </w:rPr>
      </w:pPr>
      <w:bookmarkStart w:id="6" w:name="_Hlk164115315"/>
      <w:r w:rsidRPr="00ED3853">
        <w:rPr>
          <w:rFonts w:eastAsia="Times New Roman" w:cs="Arial"/>
          <w:snapToGrid/>
          <w:szCs w:val="24"/>
        </w:rPr>
        <w:t>[</w:t>
      </w:r>
      <w:bookmarkStart w:id="7" w:name="_Hlk157091283"/>
      <w:r w:rsidRPr="00ED3853">
        <w:rPr>
          <w:rFonts w:eastAsia="Times New Roman" w:cs="Arial"/>
          <w:snapToGrid/>
          <w:szCs w:val="24"/>
        </w:rPr>
        <w:t xml:space="preserve">The SFM is proposing the adoption </w:t>
      </w:r>
      <w:r w:rsidR="00BF1B38">
        <w:rPr>
          <w:rFonts w:eastAsia="Times New Roman" w:cs="Arial"/>
          <w:snapToGrid/>
          <w:szCs w:val="24"/>
        </w:rPr>
        <w:t>and carry</w:t>
      </w:r>
      <w:r w:rsidR="00317906">
        <w:rPr>
          <w:rFonts w:eastAsia="Times New Roman" w:cs="Arial"/>
          <w:snapToGrid/>
          <w:szCs w:val="24"/>
        </w:rPr>
        <w:t xml:space="preserve">ing </w:t>
      </w:r>
      <w:r w:rsidR="00BF1B38">
        <w:rPr>
          <w:rFonts w:eastAsia="Times New Roman" w:cs="Arial"/>
          <w:snapToGrid/>
          <w:szCs w:val="24"/>
        </w:rPr>
        <w:t xml:space="preserve">over existing amendments of </w:t>
      </w:r>
      <w:r w:rsidR="00317906">
        <w:rPr>
          <w:rFonts w:eastAsia="Times New Roman" w:cs="Arial"/>
          <w:snapToGrid/>
          <w:szCs w:val="24"/>
        </w:rPr>
        <w:t>Articles</w:t>
      </w:r>
      <w:r w:rsidRPr="00ED3853">
        <w:rPr>
          <w:rFonts w:eastAsia="Times New Roman" w:cs="Arial"/>
          <w:snapToGrid/>
          <w:szCs w:val="24"/>
        </w:rPr>
        <w:t xml:space="preserve"> </w:t>
      </w:r>
      <w:r w:rsidR="00BF1B38">
        <w:rPr>
          <w:rFonts w:eastAsia="Times New Roman" w:cs="Arial"/>
          <w:snapToGrid/>
          <w:szCs w:val="24"/>
        </w:rPr>
        <w:t>100 and 110</w:t>
      </w:r>
      <w:r w:rsidRPr="00ED3853">
        <w:rPr>
          <w:rFonts w:eastAsia="Times New Roman" w:cs="Arial"/>
          <w:snapToGrid/>
          <w:szCs w:val="24"/>
        </w:rPr>
        <w:t>.]</w:t>
      </w:r>
      <w:bookmarkEnd w:id="7"/>
    </w:p>
    <w:p w14:paraId="095463A6" w14:textId="77777777" w:rsidR="00E1258C" w:rsidRDefault="00E1258C" w:rsidP="00E1258C">
      <w:pPr>
        <w:ind w:firstLine="720"/>
      </w:pPr>
      <w:r>
        <w:t>Article 100 Definitions</w:t>
      </w:r>
    </w:p>
    <w:p w14:paraId="7E9F6185" w14:textId="391C7EE6" w:rsidR="004A08D8" w:rsidRDefault="004A08D8" w:rsidP="00E1258C">
      <w:pPr>
        <w:ind w:firstLine="720"/>
      </w:pPr>
      <w:r>
        <w:tab/>
        <w:t>[Including the following existing California amended definitions:</w:t>
      </w:r>
    </w:p>
    <w:p w14:paraId="0FDDB598" w14:textId="153D093C" w:rsidR="004A08D8" w:rsidRDefault="004A08D8" w:rsidP="00E1258C">
      <w:pPr>
        <w:ind w:firstLine="720"/>
      </w:pPr>
      <w:r>
        <w:tab/>
      </w:r>
      <w:r>
        <w:tab/>
        <w:t>Accessory Dwelling Unit</w:t>
      </w:r>
    </w:p>
    <w:p w14:paraId="40F2329F" w14:textId="5E283D65" w:rsidR="004A08D8" w:rsidRDefault="004A08D8" w:rsidP="004A08D8">
      <w:pPr>
        <w:ind w:left="1440" w:firstLine="720"/>
      </w:pPr>
      <w:r>
        <w:t>Ballasted Solar Photovoltaic System</w:t>
      </w:r>
    </w:p>
    <w:p w14:paraId="55AC6C01" w14:textId="53398350" w:rsidR="00E1258C" w:rsidRPr="00E1258C" w:rsidRDefault="00E1258C" w:rsidP="00E1258C">
      <w:pPr>
        <w:ind w:firstLine="720"/>
      </w:pPr>
      <w:r>
        <w:t>Article 110 General Requirements for Electrical Installations</w:t>
      </w:r>
    </w:p>
    <w:bookmarkEnd w:id="6"/>
    <w:p w14:paraId="511E8ACE" w14:textId="77777777" w:rsidR="00513033" w:rsidRPr="0046521A" w:rsidRDefault="00513033" w:rsidP="008E558A">
      <w:pPr>
        <w:pStyle w:val="Heading4"/>
        <w:spacing w:before="0"/>
        <w:ind w:left="0"/>
      </w:pPr>
      <w:r w:rsidRPr="0046521A">
        <w:t xml:space="preserve">Notation: </w:t>
      </w:r>
    </w:p>
    <w:p w14:paraId="79D2863D"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BBFF055" w14:textId="65153657"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0D3BDC0" w14:textId="63EB67D7" w:rsidR="009E629C" w:rsidRPr="00F03FB5" w:rsidRDefault="009E629C" w:rsidP="00F03FB5">
      <w:pPr>
        <w:pStyle w:val="Heading3"/>
      </w:pPr>
      <w:r w:rsidRPr="00F03FB5">
        <w:lastRenderedPageBreak/>
        <w:t>ITEM 4</w:t>
      </w:r>
      <w:r w:rsidRPr="00F03FB5">
        <w:br/>
        <w:t xml:space="preserve">Chapter 2 </w:t>
      </w:r>
      <w:r w:rsidR="001E0A76" w:rsidRPr="00F03FB5">
        <w:t>Wiring and Protection</w:t>
      </w:r>
    </w:p>
    <w:p w14:paraId="37651D23" w14:textId="7050A33E" w:rsidR="00BA24BC" w:rsidRPr="00424936" w:rsidRDefault="00BA24BC" w:rsidP="00BA24BC">
      <w:pPr>
        <w:rPr>
          <w:rFonts w:cs="Arial"/>
          <w:snapToGrid/>
          <w:szCs w:val="24"/>
        </w:rPr>
      </w:pPr>
      <w:bookmarkStart w:id="8" w:name="_Hlk153550006"/>
      <w:r w:rsidRPr="001D036C">
        <w:rPr>
          <w:rFonts w:cs="Arial"/>
          <w:snapToGrid/>
          <w:szCs w:val="24"/>
        </w:rPr>
        <w:t xml:space="preserve">The SFM is proposing the adoption </w:t>
      </w:r>
      <w:r w:rsidR="00BF1B38">
        <w:rPr>
          <w:rFonts w:cs="Arial"/>
          <w:snapToGrid/>
          <w:szCs w:val="24"/>
        </w:rPr>
        <w:t>of</w:t>
      </w:r>
      <w:r w:rsidRPr="001D036C">
        <w:rPr>
          <w:rFonts w:cs="Arial"/>
          <w:snapToGrid/>
          <w:szCs w:val="24"/>
        </w:rPr>
        <w:t xml:space="preserve"> </w:t>
      </w:r>
      <w:r w:rsidR="00F421DD">
        <w:rPr>
          <w:rFonts w:cs="Arial"/>
          <w:snapToGrid/>
          <w:szCs w:val="24"/>
        </w:rPr>
        <w:t xml:space="preserve">the following </w:t>
      </w:r>
      <w:r w:rsidRPr="001D036C">
        <w:rPr>
          <w:rFonts w:cs="Arial"/>
          <w:snapToGrid/>
          <w:szCs w:val="24"/>
        </w:rPr>
        <w:t>Articles</w:t>
      </w:r>
      <w:r w:rsidR="00441CF3">
        <w:rPr>
          <w:rFonts w:cs="Arial"/>
          <w:snapToGrid/>
          <w:color w:val="000000"/>
          <w:szCs w:val="24"/>
        </w:rPr>
        <w:t>:</w:t>
      </w:r>
    </w:p>
    <w:p w14:paraId="5E089FAA" w14:textId="77777777" w:rsidR="00BC2893" w:rsidRDefault="00BC2893" w:rsidP="00BC2893">
      <w:pPr>
        <w:ind w:firstLine="720"/>
      </w:pPr>
      <w:bookmarkStart w:id="9" w:name="_Hlk155184247"/>
      <w:bookmarkStart w:id="10" w:name="_Hlk155355132"/>
      <w:bookmarkEnd w:id="8"/>
      <w:r w:rsidRPr="00BC2893">
        <w:t>Article 200 Use and Identification of Grounded Conductors</w:t>
      </w:r>
    </w:p>
    <w:p w14:paraId="1FE6047F" w14:textId="5E73EDD0" w:rsidR="00CE7897" w:rsidRDefault="00CE7897" w:rsidP="00BC2893">
      <w:pPr>
        <w:ind w:firstLine="720"/>
      </w:pPr>
      <w:bookmarkStart w:id="11" w:name="_Hlk160519079"/>
      <w:r>
        <w:t>Article 210 Branch Circuits Not Over 1000 Volts ac, 1500 Volts dc, Nominal</w:t>
      </w:r>
    </w:p>
    <w:bookmarkEnd w:id="9"/>
    <w:bookmarkEnd w:id="11"/>
    <w:p w14:paraId="3C6C0839" w14:textId="14961DF9" w:rsidR="00BC2893" w:rsidRDefault="00BC2893" w:rsidP="00BC2893">
      <w:pPr>
        <w:ind w:left="720"/>
      </w:pPr>
      <w:r>
        <w:t>Article 215 Feeders</w:t>
      </w:r>
    </w:p>
    <w:p w14:paraId="5D0F111C" w14:textId="26103544" w:rsidR="00BC2893" w:rsidRDefault="00BC2893" w:rsidP="00BC2893">
      <w:pPr>
        <w:ind w:firstLine="720"/>
      </w:pPr>
      <w:r>
        <w:t>Article 220 Branch-Circuit, Feeder, and Service Load Calculations</w:t>
      </w:r>
    </w:p>
    <w:p w14:paraId="4124D8B2" w14:textId="432F8E02" w:rsidR="00BC2893" w:rsidRDefault="00BC2893" w:rsidP="00BC2893">
      <w:r>
        <w:tab/>
      </w:r>
      <w:r w:rsidRPr="00BC2893">
        <w:t>Article 225 Outside Branch Circuits and Feeders</w:t>
      </w:r>
    </w:p>
    <w:p w14:paraId="29AD1C19" w14:textId="55C86008" w:rsidR="00BC2893" w:rsidRDefault="00BC2893" w:rsidP="00BC2893">
      <w:pPr>
        <w:ind w:firstLine="720"/>
      </w:pPr>
      <w:r w:rsidRPr="00BC2893">
        <w:t>Article 230 Services</w:t>
      </w:r>
    </w:p>
    <w:p w14:paraId="4743442E" w14:textId="2DB05C01" w:rsidR="00440828" w:rsidRDefault="00440828" w:rsidP="00440828">
      <w:pPr>
        <w:ind w:left="720"/>
      </w:pPr>
      <w:r w:rsidRPr="00440828">
        <w:t>Article 235 Branch Circuits, Feeders, and Services Over 1000 Volts ac, 1500 Volts dc, Nominal</w:t>
      </w:r>
    </w:p>
    <w:p w14:paraId="7BD1BD8E" w14:textId="3E79CE0E" w:rsidR="00440828" w:rsidRDefault="00440828" w:rsidP="00440828">
      <w:pPr>
        <w:ind w:left="720"/>
      </w:pPr>
      <w:r w:rsidRPr="00440828">
        <w:t>Article 240 Overcurrent Protection</w:t>
      </w:r>
    </w:p>
    <w:p w14:paraId="522975F4" w14:textId="3DF4612F" w:rsidR="00440828" w:rsidRDefault="00440828" w:rsidP="00440828">
      <w:pPr>
        <w:ind w:left="720"/>
      </w:pPr>
      <w:r>
        <w:t>Article 242 Overvoltage Protection</w:t>
      </w:r>
    </w:p>
    <w:p w14:paraId="18BC3D49" w14:textId="1ECEE4D7" w:rsidR="00440828" w:rsidRDefault="00440828" w:rsidP="00440828">
      <w:pPr>
        <w:ind w:left="720"/>
      </w:pPr>
      <w:r w:rsidRPr="00440828">
        <w:t>Article 245 Overcurrent Protection for Systems Rated Over 1000 Volts ac, 1500 Volts dc</w:t>
      </w:r>
    </w:p>
    <w:p w14:paraId="45131AC1" w14:textId="7E007D46" w:rsidR="00440828" w:rsidRDefault="00440828" w:rsidP="00440828">
      <w:pPr>
        <w:ind w:left="720"/>
      </w:pPr>
      <w:r w:rsidRPr="00440828">
        <w:t>Article 250 Grounding and Bonding</w:t>
      </w:r>
    </w:p>
    <w:p w14:paraId="6B21A403" w14:textId="77777777" w:rsidR="00317906" w:rsidRDefault="00317906" w:rsidP="00440828">
      <w:pPr>
        <w:ind w:left="720"/>
      </w:pPr>
    </w:p>
    <w:p w14:paraId="367A581E" w14:textId="2CAB33C4" w:rsidR="004A08D8" w:rsidRPr="0046521A" w:rsidRDefault="004A08D8" w:rsidP="004A08D8">
      <w:pPr>
        <w:pStyle w:val="Heading4"/>
        <w:rPr>
          <w:noProof/>
        </w:rPr>
      </w:pPr>
      <w:bookmarkStart w:id="12" w:name="_Hlk164115758"/>
      <w:r w:rsidRPr="0046521A">
        <w:t xml:space="preserve">ITEM </w:t>
      </w:r>
      <w:r>
        <w:rPr>
          <w:noProof/>
        </w:rPr>
        <w:t>4-0</w:t>
      </w:r>
      <w:r w:rsidRPr="0046521A">
        <w:rPr>
          <w:snapToGrid/>
        </w:rPr>
        <w:br/>
      </w:r>
      <w:r>
        <w:t xml:space="preserve">Article 210 </w:t>
      </w:r>
      <w:r w:rsidRPr="001E0A76">
        <w:t>Branch Circuits</w:t>
      </w:r>
      <w:r w:rsidR="00441CF3">
        <w:t>, Section 210.8 Ground-Fault Circuit-Interrupter Protection for Personnel.</w:t>
      </w:r>
    </w:p>
    <w:p w14:paraId="0E9336BE" w14:textId="3AA4C94C" w:rsidR="004A08D8" w:rsidRPr="00885EFE" w:rsidRDefault="004A08D8" w:rsidP="004A08D8">
      <w:pPr>
        <w:ind w:left="360"/>
        <w:rPr>
          <w:rFonts w:eastAsia="Times New Roman" w:cs="Arial"/>
          <w:snapToGrid/>
          <w:szCs w:val="24"/>
        </w:rPr>
      </w:pPr>
      <w:r w:rsidRPr="00885EFE">
        <w:rPr>
          <w:rFonts w:eastAsia="Times New Roman" w:cs="Arial"/>
          <w:snapToGrid/>
          <w:szCs w:val="24"/>
        </w:rPr>
        <w:t xml:space="preserve">[The SFM is proposing the </w:t>
      </w:r>
      <w:r>
        <w:rPr>
          <w:rFonts w:eastAsia="Times New Roman" w:cs="Arial"/>
          <w:snapToGrid/>
          <w:szCs w:val="24"/>
        </w:rPr>
        <w:t xml:space="preserve">adoption </w:t>
      </w:r>
      <w:r w:rsidR="00441CF3">
        <w:rPr>
          <w:rFonts w:eastAsia="Times New Roman" w:cs="Arial"/>
          <w:snapToGrid/>
          <w:szCs w:val="24"/>
        </w:rPr>
        <w:t>of section 210</w:t>
      </w:r>
      <w:r w:rsidRPr="00885EFE">
        <w:rPr>
          <w:rFonts w:eastAsia="Times New Roman" w:cs="Arial"/>
          <w:snapToGrid/>
          <w:szCs w:val="24"/>
        </w:rPr>
        <w:t>.</w:t>
      </w:r>
      <w:r w:rsidR="00441CF3">
        <w:rPr>
          <w:rFonts w:eastAsia="Times New Roman" w:cs="Arial"/>
          <w:snapToGrid/>
          <w:szCs w:val="24"/>
        </w:rPr>
        <w:t>8 with the following modification.]</w:t>
      </w:r>
    </w:p>
    <w:bookmarkEnd w:id="12"/>
    <w:p w14:paraId="163626C7" w14:textId="77777777" w:rsidR="004A08D8" w:rsidRDefault="004A08D8" w:rsidP="00440828">
      <w:pPr>
        <w:ind w:left="720"/>
      </w:pPr>
    </w:p>
    <w:p w14:paraId="03A8C1DF"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4"/>
          <w:szCs w:val="24"/>
        </w:rPr>
        <w:t>210.8 Ground-Fault Circuit-Interrupter Protection for Personnel.</w:t>
      </w:r>
      <w:r>
        <w:rPr>
          <w:rStyle w:val="eop"/>
          <w:rFonts w:ascii="Arial" w:hAnsi="Arial" w:cs="Arial"/>
          <w:sz w:val="24"/>
          <w:szCs w:val="24"/>
        </w:rPr>
        <w:t> </w:t>
      </w:r>
    </w:p>
    <w:p w14:paraId="7C223304"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4"/>
          <w:szCs w:val="24"/>
        </w:rPr>
        <w:t xml:space="preserve">(A)… </w:t>
      </w:r>
      <w:r>
        <w:rPr>
          <w:rStyle w:val="normaltextrun"/>
          <w:rFonts w:ascii="Arial" w:hAnsi="Arial" w:cs="Arial"/>
          <w:sz w:val="24"/>
          <w:szCs w:val="24"/>
        </w:rPr>
        <w:t>[No change to model code text.]</w:t>
      </w:r>
      <w:r>
        <w:rPr>
          <w:rStyle w:val="eop"/>
          <w:rFonts w:ascii="Arial" w:hAnsi="Arial" w:cs="Arial"/>
          <w:sz w:val="24"/>
          <w:szCs w:val="24"/>
        </w:rPr>
        <w:t> </w:t>
      </w:r>
    </w:p>
    <w:p w14:paraId="470C2AB2"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4"/>
          <w:szCs w:val="24"/>
        </w:rPr>
        <w:t xml:space="preserve">(F) Outdoor Outlets. </w:t>
      </w:r>
      <w:r>
        <w:rPr>
          <w:rStyle w:val="normaltextrun"/>
          <w:rFonts w:ascii="Arial" w:hAnsi="Arial" w:cs="Arial"/>
          <w:sz w:val="24"/>
          <w:szCs w:val="24"/>
        </w:rPr>
        <w:t>For dwellings, all outdoor outlets, other than those covered in 210.8(A), Exception No.1, including outlets installed in the following locations, and supplied by single-phase branch circuits rated 150 volts or less to ground, 50 amperes or less, shall be provided with GFCI protection: [No change to model code text except exception No. 2.]</w:t>
      </w:r>
      <w:r>
        <w:rPr>
          <w:rStyle w:val="eop"/>
          <w:rFonts w:ascii="Arial" w:hAnsi="Arial" w:cs="Arial"/>
          <w:sz w:val="24"/>
          <w:szCs w:val="24"/>
        </w:rPr>
        <w:t> </w:t>
      </w:r>
    </w:p>
    <w:p w14:paraId="38CECD73" w14:textId="77777777" w:rsidR="00317906" w:rsidRDefault="00317906" w:rsidP="00317906">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Arial" w:hAnsi="Arial" w:cs="Arial"/>
          <w:sz w:val="24"/>
          <w:szCs w:val="24"/>
        </w:rPr>
        <w:t>(1)</w:t>
      </w:r>
      <w:r>
        <w:rPr>
          <w:rStyle w:val="tabchar"/>
        </w:rPr>
        <w:t xml:space="preserve"> </w:t>
      </w:r>
      <w:r>
        <w:rPr>
          <w:rStyle w:val="normaltextrun"/>
          <w:rFonts w:ascii="Arial" w:hAnsi="Arial" w:cs="Arial"/>
          <w:sz w:val="24"/>
          <w:szCs w:val="24"/>
        </w:rPr>
        <w:t>Garages that have floors located at or below grade level</w:t>
      </w:r>
      <w:r>
        <w:rPr>
          <w:rStyle w:val="eop"/>
          <w:rFonts w:ascii="Arial" w:hAnsi="Arial" w:cs="Arial"/>
          <w:sz w:val="24"/>
          <w:szCs w:val="24"/>
        </w:rPr>
        <w:t> </w:t>
      </w:r>
    </w:p>
    <w:p w14:paraId="70AC85FF" w14:textId="77777777" w:rsidR="00317906" w:rsidRDefault="00317906" w:rsidP="00317906">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Arial" w:hAnsi="Arial" w:cs="Arial"/>
          <w:sz w:val="24"/>
          <w:szCs w:val="24"/>
        </w:rPr>
        <w:t>(2)</w:t>
      </w:r>
      <w:r>
        <w:rPr>
          <w:rStyle w:val="tabchar"/>
        </w:rPr>
        <w:t xml:space="preserve"> </w:t>
      </w:r>
      <w:r>
        <w:rPr>
          <w:rStyle w:val="normaltextrun"/>
          <w:rFonts w:ascii="Arial" w:hAnsi="Arial" w:cs="Arial"/>
          <w:sz w:val="24"/>
          <w:szCs w:val="24"/>
        </w:rPr>
        <w:t>Accessory buildings</w:t>
      </w:r>
      <w:r>
        <w:rPr>
          <w:rStyle w:val="eop"/>
          <w:rFonts w:ascii="Arial" w:hAnsi="Arial" w:cs="Arial"/>
          <w:sz w:val="24"/>
          <w:szCs w:val="24"/>
        </w:rPr>
        <w:t> </w:t>
      </w:r>
    </w:p>
    <w:p w14:paraId="259D83F2" w14:textId="77777777" w:rsidR="00317906" w:rsidRDefault="00317906" w:rsidP="00317906">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Arial" w:hAnsi="Arial" w:cs="Arial"/>
          <w:sz w:val="24"/>
          <w:szCs w:val="24"/>
        </w:rPr>
        <w:t>(3)</w:t>
      </w:r>
      <w:r>
        <w:rPr>
          <w:rStyle w:val="tabchar"/>
        </w:rPr>
        <w:t xml:space="preserve"> </w:t>
      </w:r>
      <w:r>
        <w:rPr>
          <w:rStyle w:val="normaltextrun"/>
          <w:rFonts w:ascii="Arial" w:hAnsi="Arial" w:cs="Arial"/>
          <w:sz w:val="24"/>
          <w:szCs w:val="24"/>
        </w:rPr>
        <w:t>Boathouses</w:t>
      </w:r>
      <w:r>
        <w:rPr>
          <w:rStyle w:val="eop"/>
          <w:rFonts w:ascii="Arial" w:hAnsi="Arial" w:cs="Arial"/>
          <w:sz w:val="24"/>
          <w:szCs w:val="24"/>
        </w:rPr>
        <w:t> </w:t>
      </w:r>
    </w:p>
    <w:p w14:paraId="26DB9B94" w14:textId="77777777" w:rsidR="00317906" w:rsidRDefault="00317906" w:rsidP="0031790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sz w:val="24"/>
          <w:szCs w:val="24"/>
        </w:rPr>
        <w:t>If equipment supplied by an outlet covered under the requirements of this section is replaced, the outlet shall be supplied with GFCI protection.</w:t>
      </w:r>
      <w:r>
        <w:rPr>
          <w:rStyle w:val="eop"/>
          <w:rFonts w:ascii="Arial" w:hAnsi="Arial" w:cs="Arial"/>
          <w:sz w:val="24"/>
          <w:szCs w:val="24"/>
        </w:rPr>
        <w:t> </w:t>
      </w:r>
    </w:p>
    <w:p w14:paraId="51EC4D3D"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4"/>
          <w:szCs w:val="24"/>
        </w:rPr>
        <w:t>Exception No. 1: GFCI protection shall not be required on lighting outlets other than those covered in 210.8(C).</w:t>
      </w:r>
      <w:r>
        <w:rPr>
          <w:rStyle w:val="eop"/>
          <w:rFonts w:ascii="Arial" w:hAnsi="Arial" w:cs="Arial"/>
          <w:sz w:val="24"/>
          <w:szCs w:val="24"/>
        </w:rPr>
        <w:t> </w:t>
      </w:r>
    </w:p>
    <w:p w14:paraId="715BFA25"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4"/>
          <w:szCs w:val="24"/>
        </w:rPr>
        <w:t xml:space="preserve">Exception No. 2: GFCI protection shall not be required for listed HVAC equipment. </w:t>
      </w:r>
      <w:r>
        <w:rPr>
          <w:rStyle w:val="normaltextrun"/>
          <w:rFonts w:ascii="Arial" w:hAnsi="Arial" w:cs="Arial"/>
          <w:strike/>
          <w:sz w:val="24"/>
          <w:szCs w:val="24"/>
        </w:rPr>
        <w:t>This exception shall expire September 1, 2026.</w:t>
      </w:r>
      <w:r>
        <w:rPr>
          <w:rStyle w:val="eop"/>
          <w:rFonts w:ascii="Arial" w:hAnsi="Arial" w:cs="Arial"/>
          <w:sz w:val="24"/>
          <w:szCs w:val="24"/>
        </w:rPr>
        <w:t> </w:t>
      </w:r>
    </w:p>
    <w:p w14:paraId="5E1AA2F9" w14:textId="77777777" w:rsidR="00317906" w:rsidRPr="00BC2893" w:rsidRDefault="00317906" w:rsidP="00440828">
      <w:pPr>
        <w:ind w:left="720"/>
      </w:pPr>
    </w:p>
    <w:p w14:paraId="2D2BBB4C" w14:textId="6646B133" w:rsidR="001E0A76" w:rsidRPr="0046521A" w:rsidRDefault="001E0A76" w:rsidP="001E0A76">
      <w:pPr>
        <w:pStyle w:val="Heading4"/>
        <w:rPr>
          <w:noProof/>
        </w:rPr>
      </w:pPr>
      <w:bookmarkStart w:id="13" w:name="_Hlk164116238"/>
      <w:bookmarkEnd w:id="10"/>
      <w:r w:rsidRPr="0046521A">
        <w:lastRenderedPageBreak/>
        <w:t xml:space="preserve">ITEM </w:t>
      </w:r>
      <w:r>
        <w:rPr>
          <w:noProof/>
        </w:rPr>
        <w:t>4-</w:t>
      </w:r>
      <w:r w:rsidR="00F421DD">
        <w:rPr>
          <w:noProof/>
        </w:rPr>
        <w:t>1</w:t>
      </w:r>
      <w:r w:rsidRPr="0046521A">
        <w:rPr>
          <w:snapToGrid/>
        </w:rPr>
        <w:br/>
      </w:r>
      <w:r>
        <w:t xml:space="preserve">Article 210 </w:t>
      </w:r>
      <w:r w:rsidRPr="001E0A76">
        <w:t>Branch Circuits</w:t>
      </w:r>
      <w:r w:rsidR="00441CF3">
        <w:t>, section 210.12 Arc-Fault Circuit-Interrupter Protection</w:t>
      </w:r>
    </w:p>
    <w:p w14:paraId="2D980168" w14:textId="7336901B" w:rsidR="001E0A76" w:rsidRPr="00885EFE" w:rsidRDefault="001E0A76" w:rsidP="00193AAB">
      <w:pPr>
        <w:ind w:left="360"/>
        <w:rPr>
          <w:rFonts w:eastAsia="Times New Roman" w:cs="Arial"/>
          <w:snapToGrid/>
          <w:szCs w:val="24"/>
        </w:rPr>
      </w:pPr>
      <w:r w:rsidRPr="00885EFE">
        <w:rPr>
          <w:rFonts w:eastAsia="Times New Roman" w:cs="Arial"/>
          <w:snapToGrid/>
          <w:szCs w:val="24"/>
        </w:rPr>
        <w:t xml:space="preserve">[The SFM is proposing the </w:t>
      </w:r>
      <w:r>
        <w:rPr>
          <w:rFonts w:eastAsia="Times New Roman" w:cs="Arial"/>
          <w:snapToGrid/>
          <w:szCs w:val="24"/>
        </w:rPr>
        <w:t>adoption</w:t>
      </w:r>
      <w:r w:rsidR="00441CF3">
        <w:rPr>
          <w:rFonts w:eastAsia="Times New Roman" w:cs="Arial"/>
          <w:snapToGrid/>
          <w:szCs w:val="24"/>
        </w:rPr>
        <w:t xml:space="preserve"> of section 210.12 with the following modification</w:t>
      </w:r>
      <w:r w:rsidRPr="00885EFE">
        <w:rPr>
          <w:rFonts w:eastAsia="Times New Roman" w:cs="Arial"/>
          <w:snapToGrid/>
          <w:szCs w:val="24"/>
        </w:rPr>
        <w:t>.]</w:t>
      </w:r>
    </w:p>
    <w:bookmarkEnd w:id="13"/>
    <w:p w14:paraId="7133C1FC" w14:textId="1114C0A2" w:rsidR="00596B94" w:rsidRPr="00596B94" w:rsidRDefault="00596B94" w:rsidP="00424936">
      <w:pPr>
        <w:ind w:firstLine="720"/>
        <w:rPr>
          <w:rFonts w:cs="Arial"/>
          <w:b/>
          <w:bCs/>
        </w:rPr>
      </w:pPr>
      <w:r w:rsidRPr="00596B94">
        <w:rPr>
          <w:rFonts w:cs="Arial"/>
          <w:b/>
          <w:bCs/>
        </w:rPr>
        <w:t>210.12 Arc-Fault Circuit-Interrupter Protection</w:t>
      </w:r>
    </w:p>
    <w:p w14:paraId="7943F3A6" w14:textId="19F9EAF4" w:rsidR="001E0A76" w:rsidRDefault="00596B94" w:rsidP="00424936">
      <w:pPr>
        <w:ind w:left="720"/>
        <w:rPr>
          <w:rFonts w:cs="Arial"/>
        </w:rPr>
      </w:pPr>
      <w:r w:rsidRPr="00596B94">
        <w:rPr>
          <w:rFonts w:cs="Arial"/>
        </w:rPr>
        <w:t>Arc-fault circuit-interrupter (AFCI) protection shall be installed in accordance with 210.12(B) through (E) by any of the means described in 210.12(A)(1) through (A)(6). The AFCI shall be listed and installed in a readily accessible location.</w:t>
      </w:r>
    </w:p>
    <w:p w14:paraId="4A3D50BB" w14:textId="3FD0F91E" w:rsidR="00596B94" w:rsidRDefault="00596B94" w:rsidP="00596B94">
      <w:pPr>
        <w:rPr>
          <w:rFonts w:cs="Arial"/>
        </w:rPr>
      </w:pPr>
      <w:r>
        <w:rPr>
          <w:rFonts w:cs="Arial"/>
        </w:rPr>
        <w:tab/>
      </w:r>
      <w:r w:rsidR="00424936">
        <w:rPr>
          <w:rFonts w:cs="Arial"/>
        </w:rPr>
        <w:tab/>
      </w:r>
      <w:r>
        <w:rPr>
          <w:rFonts w:cs="Arial"/>
        </w:rPr>
        <w:t>…</w:t>
      </w:r>
    </w:p>
    <w:p w14:paraId="4CA92E23" w14:textId="77777777" w:rsidR="00596B94" w:rsidRPr="00596B94" w:rsidRDefault="00596B94" w:rsidP="00424936">
      <w:pPr>
        <w:ind w:left="720" w:firstLine="720"/>
        <w:rPr>
          <w:rFonts w:cs="Arial"/>
        </w:rPr>
      </w:pPr>
      <w:r w:rsidRPr="00596B94">
        <w:rPr>
          <w:rFonts w:cs="Arial"/>
        </w:rPr>
        <w:t>(B) Dwelling Units.</w:t>
      </w:r>
    </w:p>
    <w:p w14:paraId="27DD7509" w14:textId="693C0D23" w:rsidR="00596B94" w:rsidRPr="00596B94" w:rsidRDefault="00BA24BC" w:rsidP="00424936">
      <w:pPr>
        <w:ind w:left="720" w:firstLine="720"/>
        <w:rPr>
          <w:rFonts w:cs="Arial"/>
        </w:rPr>
      </w:pPr>
      <w:r>
        <w:rPr>
          <w:rFonts w:cs="Arial"/>
        </w:rPr>
        <w:t>…</w:t>
      </w:r>
    </w:p>
    <w:p w14:paraId="75DFA532" w14:textId="01C3F1D0" w:rsidR="00596B94" w:rsidRPr="00596B94" w:rsidRDefault="00596B94" w:rsidP="00424936">
      <w:pPr>
        <w:ind w:left="1440"/>
        <w:rPr>
          <w:rFonts w:cs="Arial"/>
        </w:rPr>
      </w:pPr>
      <w:r w:rsidRPr="00596B94">
        <w:rPr>
          <w:rFonts w:cs="Arial"/>
        </w:rPr>
        <w:t xml:space="preserve">Informational Note No. 1: See </w:t>
      </w:r>
      <w:r w:rsidR="00BA24BC" w:rsidRPr="00BA24BC">
        <w:rPr>
          <w:rFonts w:cs="Arial"/>
          <w:i/>
          <w:iCs/>
          <w:strike/>
        </w:rPr>
        <w:t>NFPA 72-2016,</w:t>
      </w:r>
      <w:r w:rsidR="00BA24BC">
        <w:rPr>
          <w:rFonts w:cs="Arial"/>
          <w:i/>
          <w:iCs/>
          <w:strike/>
        </w:rPr>
        <w:t xml:space="preserve"> National Fire Alarm and Signaling Code</w:t>
      </w:r>
      <w:r w:rsidR="00BA24BC">
        <w:rPr>
          <w:rFonts w:cs="Arial"/>
        </w:rPr>
        <w:t xml:space="preserve"> </w:t>
      </w:r>
      <w:r w:rsidRPr="00596B94">
        <w:rPr>
          <w:rFonts w:cs="Arial"/>
        </w:rPr>
        <w:t>NFPA 72-</w:t>
      </w:r>
      <w:r w:rsidRPr="0075455E">
        <w:rPr>
          <w:rFonts w:cs="Arial"/>
          <w:strike/>
        </w:rPr>
        <w:t>2022</w:t>
      </w:r>
      <w:r w:rsidR="0075455E">
        <w:rPr>
          <w:rFonts w:cs="Arial"/>
        </w:rPr>
        <w:t xml:space="preserve"> </w:t>
      </w:r>
      <w:r w:rsidR="0075455E">
        <w:rPr>
          <w:rFonts w:cs="Arial"/>
          <w:i/>
          <w:iCs/>
          <w:u w:val="single"/>
        </w:rPr>
        <w:t>2025</w:t>
      </w:r>
      <w:r w:rsidRPr="00596B94">
        <w:rPr>
          <w:rFonts w:cs="Arial"/>
        </w:rPr>
        <w:t>, National Fire Alarm and Signaling Code, 29.9.4(5), for information on secondary power source requirements for smoke alarms installed in dwelling units.</w:t>
      </w:r>
    </w:p>
    <w:p w14:paraId="21D28EFA" w14:textId="7F3820FE" w:rsidR="00440828" w:rsidRPr="00440828" w:rsidRDefault="00BA24BC" w:rsidP="008C6B19">
      <w:pPr>
        <w:ind w:left="720" w:firstLine="720"/>
        <w:rPr>
          <w:rFonts w:cs="Arial"/>
        </w:rPr>
      </w:pPr>
      <w:r>
        <w:rPr>
          <w:rFonts w:cs="Arial"/>
        </w:rPr>
        <w:t>…</w:t>
      </w:r>
    </w:p>
    <w:p w14:paraId="2D73AB25" w14:textId="7674BD4E" w:rsidR="00513033" w:rsidRPr="00F03FB5" w:rsidRDefault="00513033" w:rsidP="008E558A">
      <w:pPr>
        <w:pStyle w:val="Heading4"/>
        <w:spacing w:before="120"/>
        <w:ind w:left="0"/>
      </w:pPr>
      <w:r w:rsidRPr="00F03FB5">
        <w:t xml:space="preserve">Notation: </w:t>
      </w:r>
    </w:p>
    <w:p w14:paraId="21B2D800"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4979821B" w14:textId="6609D164"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2321620B" w14:textId="2CB36665" w:rsidR="00B47F52" w:rsidRPr="00F03FB5" w:rsidRDefault="00B47F52" w:rsidP="00F03FB5">
      <w:pPr>
        <w:pStyle w:val="Heading3"/>
      </w:pPr>
      <w:r w:rsidRPr="00F03FB5">
        <w:t>ITEM 5</w:t>
      </w:r>
      <w:r w:rsidRPr="00F03FB5">
        <w:br/>
        <w:t>Chapter 3 Wiring Methods and Materials</w:t>
      </w:r>
    </w:p>
    <w:p w14:paraId="52BB17D0" w14:textId="6C6E5396" w:rsidR="00B47F52" w:rsidRPr="00424936" w:rsidRDefault="00B47F52" w:rsidP="00B47F52">
      <w:pPr>
        <w:rPr>
          <w:rFonts w:cs="Arial"/>
          <w:snapToGrid/>
          <w:szCs w:val="24"/>
        </w:rPr>
      </w:pPr>
      <w:r w:rsidRPr="001D036C">
        <w:rPr>
          <w:rFonts w:cs="Arial"/>
          <w:snapToGrid/>
          <w:szCs w:val="24"/>
        </w:rPr>
        <w:t xml:space="preserve">[The SFM is proposing the adoption </w:t>
      </w:r>
      <w:r w:rsidR="00BF1B38">
        <w:rPr>
          <w:rFonts w:cs="Arial"/>
          <w:snapToGrid/>
          <w:szCs w:val="24"/>
        </w:rPr>
        <w:t xml:space="preserve">of </w:t>
      </w:r>
      <w:r w:rsidR="00F421DD">
        <w:rPr>
          <w:rFonts w:cs="Arial"/>
          <w:snapToGrid/>
          <w:szCs w:val="24"/>
        </w:rPr>
        <w:t xml:space="preserve">the following </w:t>
      </w:r>
      <w:r w:rsidRPr="001D036C">
        <w:rPr>
          <w:rFonts w:cs="Arial"/>
          <w:snapToGrid/>
          <w:szCs w:val="24"/>
        </w:rPr>
        <w:t>Articles</w:t>
      </w:r>
      <w:r w:rsidR="00F421DD">
        <w:rPr>
          <w:rFonts w:cs="Arial"/>
          <w:snapToGrid/>
          <w:szCs w:val="24"/>
        </w:rPr>
        <w:t xml:space="preserve"> </w:t>
      </w:r>
      <w:r w:rsidR="004C4E46" w:rsidRPr="005C3AB5">
        <w:rPr>
          <w:rFonts w:cs="Arial"/>
          <w:snapToGrid/>
          <w:szCs w:val="24"/>
        </w:rPr>
        <w:t>without amendment</w:t>
      </w:r>
      <w:r w:rsidRPr="005C3AB5">
        <w:rPr>
          <w:rFonts w:cs="Arial"/>
          <w:snapToGrid/>
          <w:szCs w:val="24"/>
        </w:rPr>
        <w:t>.]</w:t>
      </w:r>
      <w:r w:rsidR="00FD6CCC">
        <w:rPr>
          <w:rFonts w:cs="Arial"/>
          <w:snapToGrid/>
          <w:szCs w:val="24"/>
        </w:rPr>
        <w:t xml:space="preserve">   </w:t>
      </w:r>
    </w:p>
    <w:p w14:paraId="4B015AE8" w14:textId="77777777" w:rsidR="00440828" w:rsidRDefault="00440828" w:rsidP="00440828">
      <w:pPr>
        <w:ind w:firstLine="720"/>
      </w:pPr>
      <w:bookmarkStart w:id="14" w:name="_Hlk155886220"/>
      <w:r w:rsidRPr="00BC2893">
        <w:t xml:space="preserve">Article </w:t>
      </w:r>
      <w:r>
        <w:t>300 General Requirements for Wiring Methods and Materials</w:t>
      </w:r>
    </w:p>
    <w:p w14:paraId="4CC41BFA" w14:textId="4A130DD2" w:rsidR="00440828" w:rsidRDefault="00440828" w:rsidP="00440828">
      <w:pPr>
        <w:ind w:left="720"/>
      </w:pPr>
      <w:r>
        <w:t>Article 305 General Requirements for Wiring Methods and Materials for Systems</w:t>
      </w:r>
      <w:r>
        <w:tab/>
        <w:t xml:space="preserve"> Rated Over 1000 Volts ac, 1500 Volts dc, </w:t>
      </w:r>
      <w:r w:rsidR="00513033">
        <w:t>Nominal.</w:t>
      </w:r>
    </w:p>
    <w:p w14:paraId="640D3109" w14:textId="77777777" w:rsidR="00440828" w:rsidRDefault="00440828" w:rsidP="00440828">
      <w:pPr>
        <w:ind w:firstLine="720"/>
      </w:pPr>
      <w:r>
        <w:t>Article 310 Conductors for General Wiring</w:t>
      </w:r>
    </w:p>
    <w:p w14:paraId="5D3D3FB2" w14:textId="77777777" w:rsidR="00440828" w:rsidRDefault="00440828" w:rsidP="00440828">
      <w:pPr>
        <w:ind w:firstLine="720"/>
      </w:pPr>
      <w:r>
        <w:t>Article 312 Cabinets, Cutout Boxes, and Meter Socket Enclosures</w:t>
      </w:r>
    </w:p>
    <w:p w14:paraId="07E6D093" w14:textId="5F3B0CEE" w:rsidR="00440828" w:rsidRDefault="00440828" w:rsidP="00440828">
      <w:pPr>
        <w:ind w:left="720"/>
      </w:pPr>
      <w:r>
        <w:t>Article 314 Outlet, Device, Pull, and Junction Boxes; Conduit Bodies; Fittings; and Handhole Enclosures</w:t>
      </w:r>
    </w:p>
    <w:p w14:paraId="00DFA34F" w14:textId="77777777" w:rsidR="00440828" w:rsidRDefault="00440828" w:rsidP="00440828">
      <w:pPr>
        <w:ind w:left="720"/>
      </w:pPr>
      <w:r>
        <w:t>Article 315 Medium Voltage Conductors, Cable, Cable Joints, and Cable Terminations</w:t>
      </w:r>
    </w:p>
    <w:p w14:paraId="76E19FCC" w14:textId="77777777" w:rsidR="003E295C" w:rsidRDefault="003E295C" w:rsidP="00440828">
      <w:pPr>
        <w:ind w:firstLine="720"/>
      </w:pPr>
      <w:r>
        <w:lastRenderedPageBreak/>
        <w:t>Article 320 Armored Cable: Type AC</w:t>
      </w:r>
    </w:p>
    <w:p w14:paraId="3EE4E7DE" w14:textId="77777777" w:rsidR="003E295C" w:rsidRDefault="003E295C" w:rsidP="00440828">
      <w:pPr>
        <w:ind w:firstLine="720"/>
      </w:pPr>
      <w:r>
        <w:t>Article 322 Flat Cable Assemblies: Type FC</w:t>
      </w:r>
    </w:p>
    <w:p w14:paraId="4A975B6B" w14:textId="77777777" w:rsidR="003E295C" w:rsidRDefault="003E295C" w:rsidP="00440828">
      <w:pPr>
        <w:ind w:firstLine="720"/>
      </w:pPr>
      <w:r>
        <w:t>Article 324 Flat Conductor Cable: Type FCC</w:t>
      </w:r>
    </w:p>
    <w:p w14:paraId="412DAF84" w14:textId="77777777" w:rsidR="003E295C" w:rsidRDefault="003E295C" w:rsidP="00440828">
      <w:pPr>
        <w:ind w:firstLine="720"/>
      </w:pPr>
      <w:r>
        <w:t>Article 326 Integrated Gas Spacer Cable: Type IGS</w:t>
      </w:r>
    </w:p>
    <w:p w14:paraId="15CEA1D6" w14:textId="77777777" w:rsidR="003E295C" w:rsidRDefault="003E295C" w:rsidP="00440828">
      <w:pPr>
        <w:ind w:firstLine="720"/>
      </w:pPr>
      <w:r>
        <w:t>Article 330 Metal-Clad Cable: Type MC</w:t>
      </w:r>
    </w:p>
    <w:p w14:paraId="0F6382E5" w14:textId="125B8BD0" w:rsidR="003E295C" w:rsidRDefault="003E295C" w:rsidP="00440828">
      <w:pPr>
        <w:ind w:firstLine="720"/>
      </w:pPr>
      <w:r>
        <w:t xml:space="preserve">Article 332 Mineral-Insulated, </w:t>
      </w:r>
      <w:r w:rsidR="00E0155B">
        <w:t>Metal-Sheathed</w:t>
      </w:r>
      <w:r>
        <w:t xml:space="preserve"> Cable: Type MI</w:t>
      </w:r>
    </w:p>
    <w:p w14:paraId="42935897" w14:textId="77777777" w:rsidR="003E295C" w:rsidRDefault="003E295C" w:rsidP="00440828">
      <w:pPr>
        <w:ind w:firstLine="720"/>
      </w:pPr>
      <w:r>
        <w:t>Article 334 Nonmetallic-Sheathed Cable: Types NM and NMC</w:t>
      </w:r>
    </w:p>
    <w:p w14:paraId="221EFE7C" w14:textId="77777777" w:rsidR="003E295C" w:rsidRDefault="003E295C" w:rsidP="00440828">
      <w:pPr>
        <w:ind w:firstLine="720"/>
      </w:pPr>
      <w:r>
        <w:t>Article 335 Instrumentation Tray Cable: Type ITC</w:t>
      </w:r>
    </w:p>
    <w:p w14:paraId="3B308DCF" w14:textId="77777777" w:rsidR="003E295C" w:rsidRDefault="003E295C" w:rsidP="00440828">
      <w:pPr>
        <w:ind w:firstLine="720"/>
      </w:pPr>
      <w:r>
        <w:t>Article 336 Power and Control Tray Cable: Type TC</w:t>
      </w:r>
    </w:p>
    <w:p w14:paraId="090EFCDC" w14:textId="77777777" w:rsidR="003E295C" w:rsidRDefault="003E295C" w:rsidP="00440828">
      <w:pPr>
        <w:ind w:firstLine="720"/>
      </w:pPr>
      <w:r>
        <w:t>Article 337 Type P Cable</w:t>
      </w:r>
    </w:p>
    <w:p w14:paraId="300E426F" w14:textId="77777777" w:rsidR="003E295C" w:rsidRDefault="003E295C" w:rsidP="00440828">
      <w:pPr>
        <w:ind w:firstLine="720"/>
      </w:pPr>
      <w:r>
        <w:t>Article 338 Service-Entrance Cable: Types SE and USE</w:t>
      </w:r>
    </w:p>
    <w:p w14:paraId="6969DAE6" w14:textId="77777777" w:rsidR="003E295C" w:rsidRDefault="003E295C" w:rsidP="00440828">
      <w:pPr>
        <w:ind w:firstLine="720"/>
      </w:pPr>
      <w:r>
        <w:t>Article 340 Underground Feeder and Branch-Circuit Cable: Type UF</w:t>
      </w:r>
    </w:p>
    <w:p w14:paraId="00B0657D" w14:textId="77777777" w:rsidR="003E295C" w:rsidRDefault="003E295C" w:rsidP="00440828">
      <w:pPr>
        <w:ind w:firstLine="720"/>
      </w:pPr>
      <w:r>
        <w:t>Article 342 Intermediate Metal Conduit (IMC)</w:t>
      </w:r>
    </w:p>
    <w:p w14:paraId="60BA97C8" w14:textId="77777777" w:rsidR="003E295C" w:rsidRDefault="003E295C" w:rsidP="00440828">
      <w:pPr>
        <w:ind w:firstLine="720"/>
      </w:pPr>
      <w:r>
        <w:t>Article 344 Rigid Metal Conduit (RMC)</w:t>
      </w:r>
    </w:p>
    <w:p w14:paraId="319CD4C4" w14:textId="77777777" w:rsidR="003E295C" w:rsidRDefault="003E295C" w:rsidP="00440828">
      <w:pPr>
        <w:ind w:firstLine="720"/>
      </w:pPr>
      <w:r>
        <w:t>Article 348 Flexible Metal Conduit (FMC)</w:t>
      </w:r>
    </w:p>
    <w:p w14:paraId="47D28C5D" w14:textId="3A0BEAFE" w:rsidR="003E295C" w:rsidRDefault="003E295C" w:rsidP="00440828">
      <w:pPr>
        <w:ind w:firstLine="720"/>
      </w:pPr>
      <w:r>
        <w:t>Article 350 Liquid</w:t>
      </w:r>
      <w:r w:rsidR="00E0155B">
        <w:t xml:space="preserve"> </w:t>
      </w:r>
      <w:r>
        <w:t>tight Flexible Metal Conduit (LFMC)</w:t>
      </w:r>
    </w:p>
    <w:p w14:paraId="7064E9BA" w14:textId="77777777" w:rsidR="003E295C" w:rsidRDefault="003E295C" w:rsidP="00440828">
      <w:pPr>
        <w:ind w:firstLine="720"/>
      </w:pPr>
      <w:r>
        <w:t>Article 352 Rigid Polyvinyl Chloride Conduit (PVC)</w:t>
      </w:r>
    </w:p>
    <w:p w14:paraId="4FC5BF5E" w14:textId="7D04CD43" w:rsidR="003E295C" w:rsidRDefault="003E295C" w:rsidP="00440828">
      <w:pPr>
        <w:ind w:firstLine="720"/>
      </w:pPr>
      <w:r>
        <w:t xml:space="preserve">Article 353 </w:t>
      </w:r>
      <w:r w:rsidR="00E0155B">
        <w:t>High-Density</w:t>
      </w:r>
      <w:r>
        <w:t xml:space="preserve"> Polyethylene Conduit (HDPE Conduit)</w:t>
      </w:r>
    </w:p>
    <w:p w14:paraId="3F72059A" w14:textId="77777777" w:rsidR="003E295C" w:rsidRDefault="003E295C" w:rsidP="00440828">
      <w:pPr>
        <w:ind w:firstLine="720"/>
      </w:pPr>
      <w:r>
        <w:t>Article 354 Nonmetallic Underground Conduit with Conductors (NUCC)</w:t>
      </w:r>
    </w:p>
    <w:p w14:paraId="7CB2C3ED" w14:textId="71135DC5" w:rsidR="003E295C" w:rsidRDefault="003E295C" w:rsidP="00440828">
      <w:pPr>
        <w:ind w:firstLine="720"/>
      </w:pPr>
      <w:r>
        <w:t xml:space="preserve">Article 355 Reinforced Thermosetting Resin Conduit (RTRC) </w:t>
      </w:r>
    </w:p>
    <w:p w14:paraId="760A83CF" w14:textId="3C436DAA" w:rsidR="003E295C" w:rsidRDefault="003E295C" w:rsidP="00440828">
      <w:pPr>
        <w:ind w:firstLine="720"/>
      </w:pPr>
      <w:r>
        <w:t>Article 356 Liquid</w:t>
      </w:r>
      <w:r w:rsidR="00E0155B">
        <w:t xml:space="preserve"> </w:t>
      </w:r>
      <w:r>
        <w:t>tight Flexible Nonmetallic Conduit (LFNC)</w:t>
      </w:r>
    </w:p>
    <w:p w14:paraId="702D18BA" w14:textId="77777777" w:rsidR="003E295C" w:rsidRDefault="003E295C" w:rsidP="00440828">
      <w:pPr>
        <w:ind w:firstLine="720"/>
      </w:pPr>
      <w:r>
        <w:t>Article 358 Electrical Metallic Tubing (EMT)</w:t>
      </w:r>
    </w:p>
    <w:p w14:paraId="6121F14F" w14:textId="77777777" w:rsidR="00A727FD" w:rsidRDefault="00A727FD" w:rsidP="00440828">
      <w:pPr>
        <w:ind w:firstLine="720"/>
      </w:pPr>
      <w:r>
        <w:t>Article 360 Flexible Metallic Tubing (FMT)</w:t>
      </w:r>
    </w:p>
    <w:p w14:paraId="46DA406F" w14:textId="77777777" w:rsidR="00A727FD" w:rsidRDefault="00A727FD" w:rsidP="00440828">
      <w:pPr>
        <w:ind w:firstLine="720"/>
      </w:pPr>
      <w:r>
        <w:t>Article 362 Electrical Nonmetallic Tubing (ENT)</w:t>
      </w:r>
    </w:p>
    <w:p w14:paraId="6C1A2051" w14:textId="34435B36" w:rsidR="00A727FD" w:rsidRDefault="00A727FD" w:rsidP="00440828">
      <w:pPr>
        <w:ind w:firstLine="720"/>
      </w:pPr>
      <w:r>
        <w:t>Article 366 Auxiliary Gutters</w:t>
      </w:r>
    </w:p>
    <w:p w14:paraId="330A9746" w14:textId="5B3D354A" w:rsidR="00A727FD" w:rsidRDefault="00A727FD" w:rsidP="00440828">
      <w:pPr>
        <w:ind w:firstLine="720"/>
      </w:pPr>
      <w:r>
        <w:t>Article 368 Busways</w:t>
      </w:r>
    </w:p>
    <w:p w14:paraId="63282426" w14:textId="11090018" w:rsidR="00A727FD" w:rsidRDefault="00A727FD" w:rsidP="00A727FD">
      <w:pPr>
        <w:ind w:left="720"/>
      </w:pPr>
      <w:r>
        <w:t>Article 369 Insulated Bus Pipe (IBP)/Tubular Covered Conductors (TCC) Systems</w:t>
      </w:r>
    </w:p>
    <w:p w14:paraId="62F0EDF6" w14:textId="5D0F5400" w:rsidR="00A727FD" w:rsidRDefault="00A727FD" w:rsidP="00440828">
      <w:pPr>
        <w:ind w:firstLine="720"/>
      </w:pPr>
      <w:r>
        <w:t>Article 370 Cable</w:t>
      </w:r>
      <w:r w:rsidR="00E0155B">
        <w:t xml:space="preserve"> </w:t>
      </w:r>
      <w:r>
        <w:t>bus</w:t>
      </w:r>
    </w:p>
    <w:p w14:paraId="2A007048" w14:textId="3020E87A" w:rsidR="00A727FD" w:rsidRDefault="00A727FD" w:rsidP="00440828">
      <w:pPr>
        <w:ind w:firstLine="720"/>
      </w:pPr>
      <w:r>
        <w:t>Article 371 Flexible Bus Systems</w:t>
      </w:r>
    </w:p>
    <w:p w14:paraId="4089C435" w14:textId="2E67056A" w:rsidR="00A727FD" w:rsidRDefault="00A727FD" w:rsidP="00440828">
      <w:pPr>
        <w:ind w:firstLine="720"/>
      </w:pPr>
      <w:r>
        <w:t>Article 372 Cellular Concrete Floor Raceways</w:t>
      </w:r>
    </w:p>
    <w:p w14:paraId="6D070F0B" w14:textId="136E589B" w:rsidR="00A727FD" w:rsidRDefault="00A727FD" w:rsidP="00440828">
      <w:pPr>
        <w:ind w:firstLine="720"/>
      </w:pPr>
      <w:r>
        <w:t>Article 374 Cellular Metal Floor Raceways</w:t>
      </w:r>
    </w:p>
    <w:p w14:paraId="2CD8E381" w14:textId="3B40CD1E" w:rsidR="00A727FD" w:rsidRDefault="00A727FD" w:rsidP="00440828">
      <w:pPr>
        <w:ind w:firstLine="720"/>
      </w:pPr>
      <w:r>
        <w:t>Article 376 Metal Wireways</w:t>
      </w:r>
    </w:p>
    <w:p w14:paraId="52DFDB6B" w14:textId="49557FEB" w:rsidR="00A727FD" w:rsidRDefault="00A727FD" w:rsidP="00440828">
      <w:pPr>
        <w:ind w:firstLine="720"/>
      </w:pPr>
      <w:r>
        <w:t>Article 378 Nonmetallic Wireways</w:t>
      </w:r>
    </w:p>
    <w:p w14:paraId="0FB0276B" w14:textId="365DDB66" w:rsidR="00A727FD" w:rsidRDefault="00A727FD" w:rsidP="00440828">
      <w:pPr>
        <w:ind w:firstLine="720"/>
      </w:pPr>
      <w:r>
        <w:lastRenderedPageBreak/>
        <w:t>Article 380 Multioutlet Assembly</w:t>
      </w:r>
    </w:p>
    <w:p w14:paraId="7DA31497" w14:textId="3D066DD3" w:rsidR="00A727FD" w:rsidRDefault="00A727FD" w:rsidP="00440828">
      <w:pPr>
        <w:ind w:firstLine="720"/>
      </w:pPr>
      <w:r>
        <w:t>Article 382 Nonmetallic Extensions</w:t>
      </w:r>
    </w:p>
    <w:p w14:paraId="0CE15FE0" w14:textId="7A36B179" w:rsidR="00A727FD" w:rsidRDefault="00A727FD" w:rsidP="00440828">
      <w:pPr>
        <w:ind w:firstLine="720"/>
      </w:pPr>
      <w:r>
        <w:t>Article 384 Strut-Type Channel Raceway</w:t>
      </w:r>
    </w:p>
    <w:p w14:paraId="75B69020" w14:textId="5DBB8CF4" w:rsidR="00A727FD" w:rsidRDefault="00A727FD" w:rsidP="00440828">
      <w:pPr>
        <w:ind w:firstLine="720"/>
      </w:pPr>
      <w:r>
        <w:t>Article 386 Surface Metal Raceways</w:t>
      </w:r>
    </w:p>
    <w:p w14:paraId="576E0BB2" w14:textId="56F85CB5" w:rsidR="00A727FD" w:rsidRDefault="00A727FD" w:rsidP="00440828">
      <w:pPr>
        <w:ind w:firstLine="720"/>
      </w:pPr>
      <w:r>
        <w:t>Article 388 Surface Nonmetallic Raceways</w:t>
      </w:r>
    </w:p>
    <w:p w14:paraId="338227C0" w14:textId="1E8E708A" w:rsidR="00A727FD" w:rsidRDefault="00A727FD" w:rsidP="00440828">
      <w:pPr>
        <w:ind w:firstLine="720"/>
      </w:pPr>
      <w:r>
        <w:t>Article 390 Underfloor Raceways</w:t>
      </w:r>
    </w:p>
    <w:p w14:paraId="221EF49D" w14:textId="1AD6F43C" w:rsidR="00A727FD" w:rsidRDefault="00A727FD" w:rsidP="00440828">
      <w:pPr>
        <w:ind w:firstLine="720"/>
      </w:pPr>
      <w:r>
        <w:t>Article 392 Cable Trays</w:t>
      </w:r>
    </w:p>
    <w:p w14:paraId="7C5BC243" w14:textId="42611560" w:rsidR="00A727FD" w:rsidRDefault="00A727FD" w:rsidP="00440828">
      <w:pPr>
        <w:ind w:firstLine="720"/>
      </w:pPr>
      <w:r>
        <w:t>Article 393 Low-Voltage Suspended Ceiling Power Distribution Systems</w:t>
      </w:r>
    </w:p>
    <w:p w14:paraId="72E39BD7" w14:textId="0994B6D5" w:rsidR="00A727FD" w:rsidRDefault="00A727FD" w:rsidP="00440828">
      <w:pPr>
        <w:ind w:firstLine="720"/>
      </w:pPr>
      <w:r>
        <w:t>Article 394 Concealed Knob-and-Tube Wiring</w:t>
      </w:r>
    </w:p>
    <w:p w14:paraId="35006355" w14:textId="1FD14CF3" w:rsidR="00A727FD" w:rsidRDefault="00A727FD" w:rsidP="00440828">
      <w:pPr>
        <w:ind w:firstLine="720"/>
      </w:pPr>
      <w:r>
        <w:t>Article 395 Outdoor Overhead Conductors over 1000 Volts</w:t>
      </w:r>
    </w:p>
    <w:p w14:paraId="7B0D8F4A" w14:textId="4F5985B1" w:rsidR="00A727FD" w:rsidRDefault="00A727FD" w:rsidP="00440828">
      <w:pPr>
        <w:ind w:firstLine="720"/>
      </w:pPr>
      <w:r>
        <w:t>Article 396 Messenger-Supported Wiring</w:t>
      </w:r>
    </w:p>
    <w:p w14:paraId="543215F1" w14:textId="778F5377" w:rsidR="00314FA7" w:rsidRPr="001613B2" w:rsidRDefault="00A727FD" w:rsidP="001613B2">
      <w:pPr>
        <w:ind w:firstLine="720"/>
      </w:pPr>
      <w:r>
        <w:t>Article 398 Open Wiring on Insulators</w:t>
      </w:r>
      <w:bookmarkEnd w:id="14"/>
    </w:p>
    <w:p w14:paraId="55813394" w14:textId="77777777" w:rsidR="00513033" w:rsidRPr="0046521A" w:rsidRDefault="00513033" w:rsidP="008E558A">
      <w:pPr>
        <w:pStyle w:val="Heading4"/>
        <w:spacing w:before="0"/>
        <w:ind w:left="0"/>
      </w:pPr>
      <w:r w:rsidRPr="0046521A">
        <w:t xml:space="preserve">Notation: </w:t>
      </w:r>
    </w:p>
    <w:p w14:paraId="1821DC36"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E00900B" w14:textId="2B9DD3C5" w:rsidR="00DF6625" w:rsidRPr="001613B2" w:rsidRDefault="00513033" w:rsidP="004C4E46">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EAF9AA8" w14:textId="02EE709C" w:rsidR="00DF6625" w:rsidRPr="00F03FB5" w:rsidRDefault="00DF6625" w:rsidP="00F03FB5">
      <w:pPr>
        <w:pStyle w:val="Heading3"/>
      </w:pPr>
      <w:r w:rsidRPr="00F03FB5">
        <w:t>ITEM 6</w:t>
      </w:r>
      <w:r w:rsidRPr="00F03FB5">
        <w:br/>
        <w:t xml:space="preserve">Chapter 4 </w:t>
      </w:r>
      <w:r w:rsidR="00941C37" w:rsidRPr="00F03FB5">
        <w:t>Equipment for General Use</w:t>
      </w:r>
    </w:p>
    <w:p w14:paraId="10169543" w14:textId="672B47CD" w:rsidR="00DF6625" w:rsidRDefault="00941C37" w:rsidP="004C4E46">
      <w:pPr>
        <w:rPr>
          <w:rFonts w:cs="Arial"/>
          <w:snapToGrid/>
          <w:szCs w:val="24"/>
        </w:rPr>
      </w:pPr>
      <w:r>
        <w:rPr>
          <w:rFonts w:cs="Arial"/>
          <w:snapToGrid/>
          <w:szCs w:val="24"/>
        </w:rPr>
        <w:t>[</w:t>
      </w:r>
      <w:r w:rsidRPr="002F436A">
        <w:rPr>
          <w:rFonts w:cs="Arial"/>
          <w:snapToGrid/>
          <w:szCs w:val="24"/>
        </w:rPr>
        <w:t xml:space="preserve">The SFM is proposing the adoption </w:t>
      </w:r>
      <w:r w:rsidR="00F421DD">
        <w:rPr>
          <w:rFonts w:cs="Arial"/>
          <w:snapToGrid/>
          <w:szCs w:val="24"/>
        </w:rPr>
        <w:t xml:space="preserve">of the following </w:t>
      </w:r>
      <w:r w:rsidRPr="002F436A">
        <w:rPr>
          <w:rFonts w:cs="Arial"/>
          <w:snapToGrid/>
          <w:szCs w:val="24"/>
        </w:rPr>
        <w:t>Articles</w:t>
      </w:r>
      <w:r w:rsidRPr="002F436A">
        <w:rPr>
          <w:rFonts w:cs="Arial"/>
          <w:snapToGrid/>
          <w:color w:val="000000"/>
          <w:szCs w:val="24"/>
        </w:rPr>
        <w:t xml:space="preserve"> </w:t>
      </w:r>
      <w:r w:rsidRPr="002F436A">
        <w:rPr>
          <w:rFonts w:cs="Arial"/>
          <w:snapToGrid/>
          <w:szCs w:val="24"/>
        </w:rPr>
        <w:t>without amendment</w:t>
      </w:r>
      <w:r>
        <w:rPr>
          <w:rFonts w:cs="Arial"/>
          <w:snapToGrid/>
          <w:szCs w:val="24"/>
        </w:rPr>
        <w:t>.]</w:t>
      </w:r>
    </w:p>
    <w:p w14:paraId="53E6A8E5" w14:textId="0B0BEA61" w:rsidR="00A727FD" w:rsidRDefault="00A727FD" w:rsidP="00A727FD">
      <w:pPr>
        <w:ind w:firstLine="720"/>
      </w:pPr>
      <w:bookmarkStart w:id="15" w:name="_Hlk155886301"/>
      <w:r>
        <w:t>Article 400 Flexible Cords and Flexible Cables</w:t>
      </w:r>
    </w:p>
    <w:p w14:paraId="104ABF0A" w14:textId="21B57AB8" w:rsidR="00A727FD" w:rsidRDefault="00965F09" w:rsidP="00A727FD">
      <w:pPr>
        <w:ind w:firstLine="720"/>
      </w:pPr>
      <w:r>
        <w:t>Article 402 Fixture Wires</w:t>
      </w:r>
    </w:p>
    <w:p w14:paraId="6FF4822F" w14:textId="56D18E73" w:rsidR="00965F09" w:rsidRDefault="00965F09" w:rsidP="00A727FD">
      <w:pPr>
        <w:ind w:firstLine="720"/>
      </w:pPr>
      <w:r>
        <w:t>Article 404 Switches</w:t>
      </w:r>
    </w:p>
    <w:p w14:paraId="3F5AB4E3" w14:textId="7A05167B" w:rsidR="00965F09" w:rsidRDefault="00965F09" w:rsidP="00A727FD">
      <w:pPr>
        <w:ind w:firstLine="720"/>
      </w:pPr>
      <w:r>
        <w:t>Article 406 Receptacles, Cord Connectors, and Attachment Plugs (Caps)</w:t>
      </w:r>
    </w:p>
    <w:p w14:paraId="15E2B7FA" w14:textId="73722326" w:rsidR="00965F09" w:rsidRDefault="00965F09" w:rsidP="00A727FD">
      <w:pPr>
        <w:ind w:firstLine="720"/>
      </w:pPr>
      <w:r>
        <w:t>Article 408 Switchboards, Switchgear, and Panelboards</w:t>
      </w:r>
    </w:p>
    <w:p w14:paraId="3BE66CFD" w14:textId="0800418C" w:rsidR="00965F09" w:rsidRDefault="00BA43FD" w:rsidP="00A727FD">
      <w:pPr>
        <w:ind w:firstLine="720"/>
      </w:pPr>
      <w:r>
        <w:t>Article 409 Industrial Control Panels</w:t>
      </w:r>
    </w:p>
    <w:p w14:paraId="702B7373" w14:textId="651575CC" w:rsidR="00BA43FD" w:rsidRDefault="00BA43FD" w:rsidP="00A727FD">
      <w:pPr>
        <w:ind w:firstLine="720"/>
      </w:pPr>
      <w:r>
        <w:t>Article 410 Luminaires, Lamp</w:t>
      </w:r>
      <w:r w:rsidR="00E0155B">
        <w:t xml:space="preserve"> </w:t>
      </w:r>
      <w:r>
        <w:t>holders, and Lamps</w:t>
      </w:r>
    </w:p>
    <w:p w14:paraId="5C92ABE7" w14:textId="03FB8A31" w:rsidR="00BA43FD" w:rsidRDefault="00BA43FD" w:rsidP="00A727FD">
      <w:pPr>
        <w:ind w:firstLine="720"/>
      </w:pPr>
      <w:r>
        <w:t>Article 411 Low-Voltage Lighting</w:t>
      </w:r>
    </w:p>
    <w:p w14:paraId="38D29267" w14:textId="51E4ECBF" w:rsidR="00BA43FD" w:rsidRDefault="00BA43FD" w:rsidP="00A727FD">
      <w:pPr>
        <w:ind w:firstLine="720"/>
      </w:pPr>
      <w:r>
        <w:t>Article 422 Appliances</w:t>
      </w:r>
    </w:p>
    <w:p w14:paraId="0699A6C7" w14:textId="0BE21903" w:rsidR="00BA43FD" w:rsidRDefault="00BA43FD" w:rsidP="00A727FD">
      <w:pPr>
        <w:ind w:firstLine="720"/>
      </w:pPr>
      <w:r>
        <w:t>Article 424 Fixed Electric Space-heating Equipment</w:t>
      </w:r>
    </w:p>
    <w:p w14:paraId="4A4E7DEF" w14:textId="6DDF0045" w:rsidR="00BA43FD" w:rsidRDefault="00BA43FD" w:rsidP="00FE2EDB">
      <w:pPr>
        <w:ind w:firstLine="720"/>
      </w:pPr>
      <w:r>
        <w:t>Article 425 Fixed Resistance and Electrode Industrial Process Heating</w:t>
      </w:r>
      <w:r w:rsidR="00FE2EDB">
        <w:t xml:space="preserve"> </w:t>
      </w:r>
      <w:r>
        <w:lastRenderedPageBreak/>
        <w:t>Equipment</w:t>
      </w:r>
    </w:p>
    <w:p w14:paraId="002596E1" w14:textId="479E4966" w:rsidR="00BA43FD" w:rsidRDefault="00BA43FD" w:rsidP="00A727FD">
      <w:pPr>
        <w:ind w:firstLine="720"/>
      </w:pPr>
      <w:r>
        <w:t>Article 426 Fixed Outdoor Electric Deicing and Snow-Melting Equipment</w:t>
      </w:r>
    </w:p>
    <w:p w14:paraId="32742D46" w14:textId="0370F3EE" w:rsidR="00BA43FD" w:rsidRDefault="00BA43FD" w:rsidP="00A727FD">
      <w:pPr>
        <w:ind w:firstLine="720"/>
      </w:pPr>
      <w:r>
        <w:t>Article 427 Fixed Electric Heating Equipment for Pipelines and Vessels</w:t>
      </w:r>
    </w:p>
    <w:p w14:paraId="0AA9BF43" w14:textId="434F1081" w:rsidR="00BA43FD" w:rsidRDefault="00BA43FD" w:rsidP="00A727FD">
      <w:pPr>
        <w:ind w:firstLine="720"/>
      </w:pPr>
      <w:r>
        <w:t>Article 430 Motors, Motor Circuits, and Controllers</w:t>
      </w:r>
    </w:p>
    <w:p w14:paraId="670594BD" w14:textId="3A8F4BFA" w:rsidR="00BA43FD" w:rsidRDefault="00BA43FD" w:rsidP="00A727FD">
      <w:pPr>
        <w:ind w:firstLine="720"/>
      </w:pPr>
      <w:r>
        <w:t>Article 440 Air-Conditioning and Refrigerating Equipment</w:t>
      </w:r>
    </w:p>
    <w:p w14:paraId="2A9C0132" w14:textId="34C424C6" w:rsidR="00BA43FD" w:rsidRDefault="00BA43FD" w:rsidP="00A727FD">
      <w:pPr>
        <w:ind w:firstLine="720"/>
      </w:pPr>
      <w:r>
        <w:t>Article 445 Generators</w:t>
      </w:r>
    </w:p>
    <w:p w14:paraId="5E9EF263" w14:textId="716F959A" w:rsidR="00BA43FD" w:rsidRDefault="00BA43FD" w:rsidP="00A727FD">
      <w:pPr>
        <w:ind w:firstLine="720"/>
      </w:pPr>
      <w:r>
        <w:t>Article 450 Transformers and Transformer Vaults (Including Secondary Ties)</w:t>
      </w:r>
    </w:p>
    <w:p w14:paraId="6A72F636" w14:textId="1DB3EB30" w:rsidR="00BA43FD" w:rsidRDefault="00BA43FD" w:rsidP="00A727FD">
      <w:pPr>
        <w:ind w:firstLine="720"/>
      </w:pPr>
      <w:r>
        <w:t>Article 455 Phase Converters</w:t>
      </w:r>
    </w:p>
    <w:p w14:paraId="60FB9A11" w14:textId="621E14DA" w:rsidR="00BA43FD" w:rsidRDefault="00BA43FD" w:rsidP="00A727FD">
      <w:pPr>
        <w:ind w:firstLine="720"/>
      </w:pPr>
      <w:r>
        <w:t>Article 460 Capacitors</w:t>
      </w:r>
    </w:p>
    <w:p w14:paraId="66D3EEA5" w14:textId="152B1831" w:rsidR="00BA43FD" w:rsidRDefault="00BA43FD" w:rsidP="00A727FD">
      <w:pPr>
        <w:ind w:firstLine="720"/>
      </w:pPr>
      <w:r>
        <w:t>Article 470 Resistors and Reactors</w:t>
      </w:r>
    </w:p>
    <w:p w14:paraId="4F698B84" w14:textId="18FC7869" w:rsidR="00DB698A" w:rsidRDefault="00DB698A" w:rsidP="00A727FD">
      <w:pPr>
        <w:ind w:firstLine="720"/>
      </w:pPr>
      <w:r>
        <w:t>Article 480 Stationary Standby Batteries</w:t>
      </w:r>
    </w:p>
    <w:p w14:paraId="568C5B2B" w14:textId="60D20548" w:rsidR="00314FA7" w:rsidRPr="001613B2" w:rsidRDefault="00DB698A" w:rsidP="001613B2">
      <w:pPr>
        <w:ind w:firstLine="720"/>
      </w:pPr>
      <w:r>
        <w:t>Article 495 Equipment Over 1000 Volts ac, 1500 Volts dc, Nominal</w:t>
      </w:r>
      <w:bookmarkEnd w:id="15"/>
    </w:p>
    <w:p w14:paraId="3C97FB20" w14:textId="77777777" w:rsidR="00513033" w:rsidRPr="0046521A" w:rsidRDefault="00513033" w:rsidP="008E558A">
      <w:pPr>
        <w:pStyle w:val="Heading4"/>
        <w:spacing w:before="0"/>
        <w:ind w:left="0"/>
      </w:pPr>
      <w:r w:rsidRPr="0046521A">
        <w:t xml:space="preserve">Notation: </w:t>
      </w:r>
    </w:p>
    <w:p w14:paraId="721476E0"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358225B" w14:textId="09F882D0" w:rsidR="00314FA7" w:rsidRPr="001613B2" w:rsidRDefault="00513033" w:rsidP="00314FA7">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9CB1A41" w14:textId="0DF04963" w:rsidR="00314FA7" w:rsidRPr="00F03FB5" w:rsidRDefault="00314FA7" w:rsidP="00F03FB5">
      <w:pPr>
        <w:pStyle w:val="Heading3"/>
      </w:pPr>
      <w:r w:rsidRPr="00F03FB5">
        <w:t>ITEM 7</w:t>
      </w:r>
      <w:r w:rsidRPr="00F03FB5">
        <w:br/>
        <w:t>Chapter 5 Special Occupancies</w:t>
      </w:r>
    </w:p>
    <w:p w14:paraId="0E9C4D14" w14:textId="69549EC6" w:rsidR="00B0287E" w:rsidRPr="002364D8" w:rsidRDefault="00314FA7" w:rsidP="002364D8">
      <w:pPr>
        <w:rPr>
          <w:rFonts w:cs="Arial"/>
          <w:snapToGrid/>
          <w:szCs w:val="24"/>
        </w:rPr>
      </w:pPr>
      <w:bookmarkStart w:id="16" w:name="_Hlk157535053"/>
      <w:r>
        <w:rPr>
          <w:rFonts w:cs="Arial"/>
          <w:snapToGrid/>
          <w:szCs w:val="24"/>
        </w:rPr>
        <w:t>[</w:t>
      </w:r>
      <w:r w:rsidRPr="002F436A">
        <w:rPr>
          <w:rFonts w:cs="Arial"/>
          <w:snapToGrid/>
          <w:szCs w:val="24"/>
        </w:rPr>
        <w:t xml:space="preserve">The SFM is proposing the adoption </w:t>
      </w:r>
      <w:r w:rsidR="00BF1B38">
        <w:rPr>
          <w:rFonts w:cs="Arial"/>
          <w:snapToGrid/>
          <w:szCs w:val="24"/>
        </w:rPr>
        <w:t>of</w:t>
      </w:r>
      <w:r w:rsidR="002D0385">
        <w:rPr>
          <w:rFonts w:cs="Arial"/>
          <w:snapToGrid/>
          <w:szCs w:val="24"/>
        </w:rPr>
        <w:t xml:space="preserve"> the following</w:t>
      </w:r>
      <w:r w:rsidR="00BF1B38">
        <w:rPr>
          <w:rFonts w:cs="Arial"/>
          <w:snapToGrid/>
          <w:szCs w:val="24"/>
        </w:rPr>
        <w:t xml:space="preserve"> </w:t>
      </w:r>
      <w:r w:rsidRPr="002F436A">
        <w:rPr>
          <w:rFonts w:cs="Arial"/>
          <w:snapToGrid/>
          <w:szCs w:val="24"/>
        </w:rPr>
        <w:t>Articles</w:t>
      </w:r>
      <w:r w:rsidR="00724832">
        <w:rPr>
          <w:rFonts w:cs="Arial"/>
          <w:snapToGrid/>
          <w:color w:val="000000"/>
          <w:szCs w:val="24"/>
        </w:rPr>
        <w:t xml:space="preserve"> </w:t>
      </w:r>
      <w:r w:rsidR="00724832">
        <w:rPr>
          <w:rFonts w:cs="Arial"/>
          <w:snapToGrid/>
          <w:szCs w:val="24"/>
        </w:rPr>
        <w:t>with</w:t>
      </w:r>
      <w:r w:rsidR="002D0385">
        <w:rPr>
          <w:rFonts w:cs="Arial"/>
          <w:snapToGrid/>
          <w:szCs w:val="24"/>
        </w:rPr>
        <w:t xml:space="preserve"> new and existing</w:t>
      </w:r>
      <w:r w:rsidR="00DF04CF">
        <w:rPr>
          <w:rFonts w:cs="Arial"/>
          <w:snapToGrid/>
          <w:szCs w:val="24"/>
        </w:rPr>
        <w:t xml:space="preserve"> </w:t>
      </w:r>
      <w:r w:rsidR="00724832" w:rsidRPr="002D0385">
        <w:rPr>
          <w:rFonts w:cs="Arial"/>
          <w:snapToGrid/>
          <w:szCs w:val="24"/>
        </w:rPr>
        <w:t>amendments</w:t>
      </w:r>
      <w:r w:rsidR="003E487C">
        <w:rPr>
          <w:rFonts w:cs="Arial"/>
          <w:snapToGrid/>
          <w:szCs w:val="24"/>
        </w:rPr>
        <w:t xml:space="preserve"> </w:t>
      </w:r>
      <w:r w:rsidR="00513033">
        <w:rPr>
          <w:rFonts w:cs="Arial"/>
          <w:snapToGrid/>
          <w:szCs w:val="24"/>
        </w:rPr>
        <w:t>as shown in Item 7</w:t>
      </w:r>
      <w:r w:rsidR="008E1445">
        <w:rPr>
          <w:rFonts w:cs="Arial"/>
          <w:snapToGrid/>
          <w:szCs w:val="24"/>
        </w:rPr>
        <w:t>-1 and 7-2</w:t>
      </w:r>
      <w:r w:rsidRPr="002D0385">
        <w:rPr>
          <w:rFonts w:cs="Arial"/>
          <w:snapToGrid/>
          <w:szCs w:val="24"/>
        </w:rPr>
        <w:t>.</w:t>
      </w:r>
      <w:bookmarkStart w:id="17" w:name="_Hlk155945693"/>
      <w:r w:rsidR="002A2854">
        <w:rPr>
          <w:rFonts w:cs="Arial"/>
          <w:snapToGrid/>
          <w:szCs w:val="24"/>
        </w:rPr>
        <w:t xml:space="preserve"> </w:t>
      </w:r>
      <w:r w:rsidR="00F752A0">
        <w:rPr>
          <w:rFonts w:cs="Arial"/>
          <w:snapToGrid/>
          <w:szCs w:val="24"/>
        </w:rPr>
        <w:t xml:space="preserve">SFM </w:t>
      </w:r>
      <w:r w:rsidR="008E1445">
        <w:rPr>
          <w:rFonts w:cs="Arial"/>
          <w:snapToGrid/>
          <w:szCs w:val="24"/>
        </w:rPr>
        <w:t>is proposing to NOT</w:t>
      </w:r>
      <w:r w:rsidR="00F752A0">
        <w:rPr>
          <w:rFonts w:cs="Arial"/>
          <w:snapToGrid/>
          <w:szCs w:val="24"/>
        </w:rPr>
        <w:t xml:space="preserve"> adopt Article 550</w:t>
      </w:r>
      <w:r w:rsidR="008E1445">
        <w:rPr>
          <w:rFonts w:cs="Arial"/>
          <w:snapToGrid/>
          <w:szCs w:val="24"/>
        </w:rPr>
        <w:t xml:space="preserve"> Mobile Homes, Manufactured Home, and Mobile Home Parks</w:t>
      </w:r>
      <w:r w:rsidR="00F752A0">
        <w:rPr>
          <w:rFonts w:cs="Arial"/>
          <w:snapToGrid/>
          <w:szCs w:val="24"/>
        </w:rPr>
        <w:t>, 551</w:t>
      </w:r>
      <w:r w:rsidR="008E1445">
        <w:rPr>
          <w:rFonts w:cs="Arial"/>
          <w:snapToGrid/>
          <w:szCs w:val="24"/>
        </w:rPr>
        <w:t xml:space="preserve"> Recreational Vehicles and Recreational Vehicle Parks</w:t>
      </w:r>
      <w:r w:rsidR="00F752A0">
        <w:rPr>
          <w:rFonts w:cs="Arial"/>
          <w:snapToGrid/>
          <w:szCs w:val="24"/>
        </w:rPr>
        <w:t>, and 552</w:t>
      </w:r>
      <w:r w:rsidR="00572965">
        <w:rPr>
          <w:rFonts w:cs="Arial"/>
          <w:snapToGrid/>
          <w:szCs w:val="24"/>
        </w:rPr>
        <w:t xml:space="preserve"> Park Trailers</w:t>
      </w:r>
      <w:bookmarkEnd w:id="16"/>
      <w:r w:rsidR="00F752A0">
        <w:rPr>
          <w:rFonts w:cs="Arial"/>
          <w:snapToGrid/>
          <w:szCs w:val="24"/>
        </w:rPr>
        <w:t>.</w:t>
      </w:r>
      <w:bookmarkEnd w:id="17"/>
      <w:r w:rsidRPr="002D0385">
        <w:rPr>
          <w:rFonts w:cs="Arial"/>
          <w:snapToGrid/>
          <w:szCs w:val="24"/>
        </w:rPr>
        <w:t>]</w:t>
      </w:r>
      <w:r w:rsidRPr="002F436A">
        <w:rPr>
          <w:rFonts w:cs="Arial"/>
          <w:snapToGrid/>
          <w:szCs w:val="24"/>
        </w:rPr>
        <w:t xml:space="preserve"> </w:t>
      </w:r>
    </w:p>
    <w:p w14:paraId="7C4438CB" w14:textId="24F6F9FB" w:rsidR="00DB698A" w:rsidRDefault="00DB698A" w:rsidP="000E5406">
      <w:pPr>
        <w:ind w:left="720"/>
      </w:pPr>
      <w:r>
        <w:t>Article 500</w:t>
      </w:r>
      <w:r w:rsidR="000E5406">
        <w:t xml:space="preserve"> Hazardous (Classified) Locations, Classes I, II, and III, Division 1 and 2</w:t>
      </w:r>
    </w:p>
    <w:p w14:paraId="300CD607" w14:textId="777B8702" w:rsidR="009D5412" w:rsidRPr="00DB698A" w:rsidRDefault="00DB698A" w:rsidP="009D5412">
      <w:pPr>
        <w:ind w:firstLine="720"/>
      </w:pPr>
      <w:r>
        <w:t>Article 501</w:t>
      </w:r>
      <w:r w:rsidR="000E5406">
        <w:t xml:space="preserve"> </w:t>
      </w:r>
      <w:r w:rsidR="009D5412">
        <w:t>Class I Locations</w:t>
      </w:r>
    </w:p>
    <w:p w14:paraId="6F2FF4F3" w14:textId="1DD511EE" w:rsidR="009D5412" w:rsidRPr="00DB698A" w:rsidRDefault="00DB698A" w:rsidP="009D5412">
      <w:pPr>
        <w:ind w:firstLine="720"/>
      </w:pPr>
      <w:r>
        <w:t>Article 502</w:t>
      </w:r>
      <w:r w:rsidR="009D5412">
        <w:t xml:space="preserve"> Class II Locations</w:t>
      </w:r>
    </w:p>
    <w:p w14:paraId="47E16FB0" w14:textId="619D70B1" w:rsidR="00DB698A" w:rsidRPr="00DB698A" w:rsidRDefault="00DB698A" w:rsidP="00DB698A">
      <w:pPr>
        <w:ind w:firstLine="720"/>
      </w:pPr>
      <w:r>
        <w:t>Article 503</w:t>
      </w:r>
      <w:r w:rsidR="009D5412">
        <w:t xml:space="preserve"> Class III Locations</w:t>
      </w:r>
    </w:p>
    <w:p w14:paraId="2E869A57" w14:textId="5EC59B8B" w:rsidR="00DB698A" w:rsidRPr="00DB698A" w:rsidRDefault="00DB698A" w:rsidP="00DB698A">
      <w:pPr>
        <w:ind w:firstLine="720"/>
      </w:pPr>
      <w:r>
        <w:t>Article 504</w:t>
      </w:r>
      <w:r w:rsidR="009D5412">
        <w:t xml:space="preserve"> Intrinsically Safe Systems</w:t>
      </w:r>
    </w:p>
    <w:p w14:paraId="29B858C3" w14:textId="0D6E9DC3" w:rsidR="00DB698A" w:rsidRPr="00DB698A" w:rsidRDefault="00DB698A" w:rsidP="00DB698A">
      <w:pPr>
        <w:ind w:firstLine="720"/>
      </w:pPr>
      <w:r>
        <w:t>Article 505</w:t>
      </w:r>
      <w:r w:rsidR="009D5412">
        <w:t xml:space="preserve"> Zone 0, 1, and 2 Locations</w:t>
      </w:r>
    </w:p>
    <w:p w14:paraId="2B01F3F4" w14:textId="656CFB76" w:rsidR="00DB698A" w:rsidRDefault="00DB698A" w:rsidP="009D5412">
      <w:pPr>
        <w:ind w:left="720"/>
      </w:pPr>
      <w:r>
        <w:t>Article 506</w:t>
      </w:r>
      <w:r w:rsidR="009D5412">
        <w:t xml:space="preserve"> Zone 20, 21, and 22 Locations for Combustible Dust s or </w:t>
      </w:r>
      <w:r w:rsidR="00572965">
        <w:t>Ignitable</w:t>
      </w:r>
      <w:r w:rsidR="009D5412">
        <w:t xml:space="preserve"> Fibers/Flying</w:t>
      </w:r>
    </w:p>
    <w:p w14:paraId="133D176C" w14:textId="1477064D" w:rsidR="00DB698A" w:rsidRDefault="00DB698A" w:rsidP="00DB698A">
      <w:pPr>
        <w:ind w:firstLine="720"/>
      </w:pPr>
      <w:r>
        <w:lastRenderedPageBreak/>
        <w:t>Article 511</w:t>
      </w:r>
      <w:r w:rsidR="009D5412">
        <w:t xml:space="preserve"> Commercial Garages, Repair and Storage</w:t>
      </w:r>
    </w:p>
    <w:p w14:paraId="69449CF1" w14:textId="7A93744F" w:rsidR="00DB698A" w:rsidRPr="00DB698A" w:rsidRDefault="00DB698A" w:rsidP="009D5412">
      <w:pPr>
        <w:ind w:left="720"/>
      </w:pPr>
      <w:r>
        <w:t>Article 512</w:t>
      </w:r>
      <w:r w:rsidR="009D5412">
        <w:t xml:space="preserve"> Cannabis Oil Equipment and Cannabis Oil Systems Using Flammable Materials</w:t>
      </w:r>
    </w:p>
    <w:p w14:paraId="250496E6" w14:textId="246A61AF" w:rsidR="00DB698A" w:rsidRDefault="00DB698A" w:rsidP="00DB698A">
      <w:pPr>
        <w:ind w:firstLine="720"/>
      </w:pPr>
      <w:r>
        <w:t>Article 513</w:t>
      </w:r>
      <w:r w:rsidR="009D5412">
        <w:t xml:space="preserve"> Aircraft Hangers</w:t>
      </w:r>
      <w:r w:rsidRPr="00DB698A">
        <w:t xml:space="preserve"> </w:t>
      </w:r>
    </w:p>
    <w:p w14:paraId="0577BFFB" w14:textId="562F1B9B" w:rsidR="00DB698A" w:rsidRPr="00DB698A" w:rsidRDefault="00DB698A" w:rsidP="00DB698A">
      <w:pPr>
        <w:ind w:firstLine="720"/>
      </w:pPr>
      <w:r>
        <w:t>Article 514</w:t>
      </w:r>
      <w:r w:rsidR="009D5412">
        <w:t xml:space="preserve"> Motor Fuel Dispensing Facilities</w:t>
      </w:r>
    </w:p>
    <w:p w14:paraId="73BADAAE" w14:textId="62644ACE" w:rsidR="009D5412" w:rsidRPr="00DB698A" w:rsidRDefault="00DB698A" w:rsidP="009D5412">
      <w:pPr>
        <w:ind w:firstLine="720"/>
      </w:pPr>
      <w:r>
        <w:t>Article 515</w:t>
      </w:r>
      <w:r w:rsidR="009D5412">
        <w:t xml:space="preserve"> Bulk Storage Plants</w:t>
      </w:r>
    </w:p>
    <w:p w14:paraId="5B5D0D62" w14:textId="4D4C7ACD" w:rsidR="00DB698A" w:rsidRDefault="00DB698A" w:rsidP="00D77E5E">
      <w:pPr>
        <w:ind w:left="720"/>
      </w:pPr>
      <w:r>
        <w:t>Article 516</w:t>
      </w:r>
      <w:r w:rsidR="009D5412">
        <w:t xml:space="preserve"> </w:t>
      </w:r>
      <w:r w:rsidR="00D77E5E">
        <w:t>Spray Application, Dipping, Coating, and Printing Processes Using Flammable or Combustible Materials</w:t>
      </w:r>
    </w:p>
    <w:p w14:paraId="10E07CE0" w14:textId="0F236011" w:rsidR="002D0385" w:rsidRPr="00DB698A" w:rsidRDefault="002D0385" w:rsidP="00D77E5E">
      <w:pPr>
        <w:ind w:left="720"/>
      </w:pPr>
      <w:r w:rsidRPr="002D0385">
        <w:t>Article 517 Health Care Facilities</w:t>
      </w:r>
    </w:p>
    <w:p w14:paraId="1BD75852" w14:textId="6E8FE45B" w:rsidR="00DB698A" w:rsidRPr="00DB698A" w:rsidRDefault="00DB698A" w:rsidP="00DB698A">
      <w:pPr>
        <w:ind w:firstLine="720"/>
      </w:pPr>
      <w:r>
        <w:t>Article 518</w:t>
      </w:r>
      <w:r w:rsidR="00D77E5E">
        <w:t xml:space="preserve"> Assembly Occupancies</w:t>
      </w:r>
    </w:p>
    <w:p w14:paraId="604712D6" w14:textId="4C39D7A7" w:rsidR="00DB698A" w:rsidRPr="00DB698A" w:rsidRDefault="00DB698A" w:rsidP="00D77E5E">
      <w:pPr>
        <w:ind w:left="720"/>
      </w:pPr>
      <w:r>
        <w:t>Article 520</w:t>
      </w:r>
      <w:r w:rsidR="00D77E5E">
        <w:t xml:space="preserve"> Theaters, Audience Areas of Motion Picture and Television Studios, Performance Ares, and Similar Locations</w:t>
      </w:r>
    </w:p>
    <w:p w14:paraId="21AA8C36" w14:textId="6C6E49D4" w:rsidR="00DB698A" w:rsidRPr="00DB698A" w:rsidRDefault="00DB698A" w:rsidP="00DB698A">
      <w:pPr>
        <w:ind w:firstLine="720"/>
      </w:pPr>
      <w:r>
        <w:t>Article 522</w:t>
      </w:r>
      <w:r w:rsidR="00D77E5E">
        <w:t xml:space="preserve"> Control Systems for Permanent Amusement Attractions</w:t>
      </w:r>
    </w:p>
    <w:p w14:paraId="26D1BFBF" w14:textId="597560E5" w:rsidR="00DB698A" w:rsidRPr="00DB698A" w:rsidRDefault="00DB698A" w:rsidP="00DB698A">
      <w:pPr>
        <w:ind w:firstLine="720"/>
      </w:pPr>
      <w:r>
        <w:t>Article 525</w:t>
      </w:r>
      <w:r w:rsidR="00D77E5E">
        <w:t xml:space="preserve"> Carnivals, Circuses, Fairs, and Similar Events</w:t>
      </w:r>
    </w:p>
    <w:p w14:paraId="57B5CAD7" w14:textId="03700306" w:rsidR="00DB698A" w:rsidRPr="00DB698A" w:rsidRDefault="00DB698A" w:rsidP="00DB698A">
      <w:pPr>
        <w:ind w:firstLine="720"/>
      </w:pPr>
      <w:r>
        <w:t>Article 5</w:t>
      </w:r>
      <w:r w:rsidR="004F4845">
        <w:t>30</w:t>
      </w:r>
      <w:r w:rsidR="00D77E5E">
        <w:t xml:space="preserve"> Motion Picture and Television Studios and Remote Locations</w:t>
      </w:r>
    </w:p>
    <w:p w14:paraId="74338CBE" w14:textId="2F8F9EFE" w:rsidR="00DB698A" w:rsidRDefault="00DB698A" w:rsidP="00DB698A">
      <w:pPr>
        <w:ind w:firstLine="720"/>
      </w:pPr>
      <w:r>
        <w:t>Article 5</w:t>
      </w:r>
      <w:r w:rsidR="000E5406">
        <w:t>40</w:t>
      </w:r>
      <w:r w:rsidR="00D77E5E">
        <w:t xml:space="preserve"> Motion Picture Projection Rooms</w:t>
      </w:r>
    </w:p>
    <w:p w14:paraId="71B5E2CF" w14:textId="5BFBEE38" w:rsidR="000E5406" w:rsidRDefault="000E5406" w:rsidP="000E5406">
      <w:pPr>
        <w:ind w:firstLine="720"/>
      </w:pPr>
      <w:r>
        <w:t>Article 545</w:t>
      </w:r>
      <w:r w:rsidR="00D77E5E">
        <w:t xml:space="preserve"> Manufactured Buildings and Relocatable Structures</w:t>
      </w:r>
    </w:p>
    <w:p w14:paraId="69CB12E3" w14:textId="6DF16211" w:rsidR="000E5406" w:rsidRDefault="000E5406" w:rsidP="000E5406">
      <w:pPr>
        <w:ind w:firstLine="720"/>
      </w:pPr>
      <w:r>
        <w:t>Article 547</w:t>
      </w:r>
      <w:r w:rsidR="00D77E5E">
        <w:t xml:space="preserve"> Agricultural Buildings</w:t>
      </w:r>
    </w:p>
    <w:p w14:paraId="55680964" w14:textId="16167702" w:rsidR="00DB698A" w:rsidRDefault="000E5406" w:rsidP="00572965">
      <w:pPr>
        <w:ind w:left="720"/>
      </w:pPr>
      <w:r>
        <w:t>Article 555</w:t>
      </w:r>
      <w:r w:rsidR="00D77E5E">
        <w:t xml:space="preserve"> </w:t>
      </w:r>
      <w:r w:rsidR="00572965">
        <w:t>Marina, Boatyards, Floating Buildings, and Commercial and Noncommercial Docking Facilities</w:t>
      </w:r>
    </w:p>
    <w:p w14:paraId="19765EF9" w14:textId="1DBF2B79" w:rsidR="008E1445" w:rsidRDefault="00572965" w:rsidP="001613B2">
      <w:pPr>
        <w:ind w:left="720"/>
      </w:pPr>
      <w:r>
        <w:t>Article 590 Temporary Installations</w:t>
      </w:r>
    </w:p>
    <w:p w14:paraId="7152EF22" w14:textId="77777777" w:rsidR="00FE2EDB" w:rsidRDefault="00A63B58" w:rsidP="001613B2">
      <w:pPr>
        <w:pStyle w:val="Heading4"/>
        <w:rPr>
          <w:noProof/>
        </w:rPr>
      </w:pPr>
      <w:r w:rsidRPr="00A63B58">
        <w:rPr>
          <w:snapToGrid/>
        </w:rPr>
        <w:t>ITEM 7-1</w:t>
      </w:r>
      <w:r w:rsidRPr="00A63B58">
        <w:rPr>
          <w:snapToGrid/>
        </w:rPr>
        <w:br/>
        <w:t>Article 517 Health Care Facilities, Section 517.31 Requirements for Essential Electrical System, 517.41 Required Power Sources, 517.42 Essential Electrical Systems for Nursing Homes and Limited Care Facilities, 517.45 Essential Electrical Systems for other Health Care Facilities</w:t>
      </w:r>
    </w:p>
    <w:p w14:paraId="593B1812" w14:textId="11AE933B" w:rsidR="00F3096C" w:rsidRPr="001613B2" w:rsidRDefault="008E1445" w:rsidP="00A978D0">
      <w:pPr>
        <w:ind w:left="360"/>
        <w:rPr>
          <w:snapToGrid/>
        </w:rPr>
      </w:pPr>
      <w:r w:rsidRPr="002D0385">
        <w:rPr>
          <w:rFonts w:eastAsia="Times New Roman"/>
          <w:snapToGrid/>
        </w:rPr>
        <w:t>[</w:t>
      </w:r>
      <w:bookmarkStart w:id="18" w:name="_Hlk157534996"/>
      <w:r w:rsidRPr="002D0385">
        <w:rPr>
          <w:snapToGrid/>
        </w:rPr>
        <w:t>The SFM is proposing the adoption of Article 517 with new amendments. Add sections 517.31(H), 517.42(G), and 517.45(H)</w:t>
      </w:r>
      <w:r w:rsidR="002A2854">
        <w:rPr>
          <w:snapToGrid/>
        </w:rPr>
        <w:t xml:space="preserve"> to coordinate regulation with OSHPD</w:t>
      </w:r>
      <w:bookmarkEnd w:id="18"/>
      <w:r>
        <w:rPr>
          <w:snapToGrid/>
        </w:rPr>
        <w:t>.]</w:t>
      </w:r>
      <w:r w:rsidRPr="008F783D">
        <w:rPr>
          <w:snapToGrid/>
          <w:highlight w:val="yellow"/>
        </w:rPr>
        <w:t xml:space="preserve"> </w:t>
      </w:r>
    </w:p>
    <w:p w14:paraId="3B3CE0E7" w14:textId="0B7C489B" w:rsidR="00F3096C" w:rsidRDefault="00F3096C" w:rsidP="00A978D0">
      <w:pPr>
        <w:ind w:firstLine="360"/>
      </w:pPr>
      <w:r w:rsidRPr="00F3096C">
        <w:rPr>
          <w:b/>
          <w:bCs/>
        </w:rPr>
        <w:t>517.31 Requirements for the Essential Electrical System</w:t>
      </w:r>
      <w:r>
        <w:rPr>
          <w:b/>
          <w:bCs/>
        </w:rPr>
        <w:t>.</w:t>
      </w:r>
    </w:p>
    <w:p w14:paraId="4A816D6C" w14:textId="4C1E1903" w:rsidR="00F3096C" w:rsidRPr="00546C4F" w:rsidRDefault="00546C4F" w:rsidP="00A978D0">
      <w:pPr>
        <w:ind w:firstLine="720"/>
        <w:rPr>
          <w:b/>
          <w:bCs/>
        </w:rPr>
      </w:pPr>
      <w:r w:rsidRPr="00546C4F">
        <w:rPr>
          <w:b/>
          <w:bCs/>
        </w:rPr>
        <w:t>…</w:t>
      </w:r>
    </w:p>
    <w:p w14:paraId="7064BEBC" w14:textId="1C2653CC" w:rsidR="00F3096C" w:rsidRPr="00D52F98" w:rsidRDefault="00F3096C" w:rsidP="00A978D0">
      <w:pPr>
        <w:ind w:left="720"/>
        <w:rPr>
          <w:i/>
          <w:iCs/>
          <w:u w:val="single"/>
        </w:rPr>
      </w:pPr>
      <w:r w:rsidRPr="00D52F98">
        <w:rPr>
          <w:b/>
          <w:bCs/>
          <w:i/>
          <w:iCs/>
          <w:u w:val="single"/>
        </w:rPr>
        <w:t>(H) [SFM, OSHPD 1, 4 &amp; 5] On-site energy storage systems and fuel supply.</w:t>
      </w:r>
      <w:r w:rsidRPr="00D52F98">
        <w:rPr>
          <w:i/>
          <w:iCs/>
          <w:u w:val="single"/>
        </w:rPr>
        <w:t xml:space="preserve"> The on-site Essential Electrical System sources (or set of sources) shall have sufficient resources on-site</w:t>
      </w:r>
      <w:r w:rsidR="00040A2F">
        <w:rPr>
          <w:i/>
          <w:iCs/>
          <w:u w:val="single"/>
        </w:rPr>
        <w:t>,</w:t>
      </w:r>
      <w:r w:rsidRPr="00D52F98">
        <w:rPr>
          <w:i/>
          <w:iCs/>
          <w:u w:val="single"/>
        </w:rPr>
        <w:t xml:space="preserve"> </w:t>
      </w:r>
      <w:r w:rsidR="00040A2F">
        <w:rPr>
          <w:i/>
          <w:iCs/>
          <w:u w:val="single"/>
        </w:rPr>
        <w:t xml:space="preserve">and shall </w:t>
      </w:r>
      <w:proofErr w:type="gramStart"/>
      <w:r w:rsidR="00040A2F">
        <w:rPr>
          <w:i/>
          <w:iCs/>
          <w:u w:val="single"/>
        </w:rPr>
        <w:t>be available at all times</w:t>
      </w:r>
      <w:proofErr w:type="gramEnd"/>
      <w:r w:rsidR="00040A2F">
        <w:rPr>
          <w:i/>
          <w:iCs/>
          <w:u w:val="single"/>
        </w:rPr>
        <w:t xml:space="preserve"> </w:t>
      </w:r>
      <w:r w:rsidRPr="00D52F98">
        <w:rPr>
          <w:i/>
          <w:iCs/>
          <w:u w:val="single"/>
        </w:rPr>
        <w:t>to provide continuous essential power as follows:</w:t>
      </w:r>
    </w:p>
    <w:p w14:paraId="1E5F5B1D" w14:textId="195AF985" w:rsidR="00C60C2D" w:rsidRPr="00C60C2D" w:rsidRDefault="00F3096C" w:rsidP="00C60C2D">
      <w:pPr>
        <w:ind w:left="1440"/>
        <w:rPr>
          <w:i/>
          <w:iCs/>
          <w:u w:val="single"/>
        </w:rPr>
      </w:pPr>
      <w:r w:rsidRPr="002736CD">
        <w:rPr>
          <w:b/>
          <w:bCs/>
          <w:i/>
          <w:iCs/>
          <w:u w:val="single"/>
        </w:rPr>
        <w:t>(1) [SFM, OSHPD 1 &amp; 4]</w:t>
      </w:r>
      <w:r w:rsidRPr="00D52F98">
        <w:rPr>
          <w:i/>
          <w:iCs/>
          <w:u w:val="single"/>
        </w:rPr>
        <w:t xml:space="preserve"> </w:t>
      </w:r>
      <w:r w:rsidR="00C60C2D" w:rsidRPr="00C60C2D">
        <w:rPr>
          <w:i/>
          <w:iCs/>
          <w:u w:val="single"/>
        </w:rPr>
        <w:t xml:space="preserve">For correctional treatment centers that provide optional services, resources shall be sufficient to support not less than 24 hours full-demand operation. For acute care hospital facilities required to </w:t>
      </w:r>
      <w:r w:rsidR="00C60C2D" w:rsidRPr="00C60C2D">
        <w:rPr>
          <w:i/>
          <w:iCs/>
          <w:u w:val="single"/>
        </w:rPr>
        <w:lastRenderedPageBreak/>
        <w:t xml:space="preserve">meet NPC-5, the on- site resources shall </w:t>
      </w:r>
      <w:proofErr w:type="gramStart"/>
      <w:r w:rsidR="00C60C2D" w:rsidRPr="00C60C2D">
        <w:rPr>
          <w:i/>
          <w:iCs/>
          <w:u w:val="single"/>
        </w:rPr>
        <w:t>be available at all times</w:t>
      </w:r>
      <w:proofErr w:type="gramEnd"/>
      <w:r w:rsidR="00C60C2D" w:rsidRPr="00C60C2D">
        <w:rPr>
          <w:i/>
          <w:iCs/>
          <w:u w:val="single"/>
        </w:rPr>
        <w:t xml:space="preserve"> sufficient to support not less than 72 hours at full output of the required Emergency Power Supply System (EPSS). On-Site fuel for redundant power sources is not required (i.e., for N+1 generators fuel is required for N generators only).</w:t>
      </w:r>
    </w:p>
    <w:p w14:paraId="2E0184A8" w14:textId="4B372BDF" w:rsidR="00546C4F" w:rsidRDefault="00C60C2D" w:rsidP="00C60C2D">
      <w:pPr>
        <w:ind w:left="1440"/>
        <w:rPr>
          <w:rFonts w:cs="Arial"/>
          <w:b/>
          <w:bCs/>
          <w:szCs w:val="24"/>
        </w:rPr>
      </w:pPr>
      <w:r w:rsidRPr="00C60C2D">
        <w:rPr>
          <w:i/>
          <w:iCs/>
          <w:u w:val="single"/>
        </w:rPr>
        <w:t xml:space="preserve">(2) [SFM, OSHPD 4 &amp; 5], For the following health facilities with seven or more beds: correctional treatment centers that provide only basic services and acute psychiatric hospitals, on-site resources shall </w:t>
      </w:r>
      <w:proofErr w:type="gramStart"/>
      <w:r w:rsidRPr="00C60C2D">
        <w:rPr>
          <w:i/>
          <w:iCs/>
          <w:u w:val="single"/>
        </w:rPr>
        <w:t>be available at all times</w:t>
      </w:r>
      <w:proofErr w:type="gramEnd"/>
      <w:r w:rsidRPr="00C60C2D">
        <w:rPr>
          <w:i/>
          <w:iCs/>
          <w:u w:val="single"/>
        </w:rPr>
        <w:t xml:space="preserve"> sufficient to support not less than 6 hours at full output of the required Emergency Power Supply System (EPSS). On-Site fuel for redundant power sources is not required (i.e., for N+1 generators fuel is required for N generators only).</w:t>
      </w:r>
      <w:r w:rsidR="00546C4F">
        <w:rPr>
          <w:rFonts w:cs="Arial"/>
          <w:b/>
          <w:bCs/>
          <w:szCs w:val="24"/>
        </w:rPr>
        <w:t>…</w:t>
      </w:r>
    </w:p>
    <w:p w14:paraId="575A0234" w14:textId="77777777" w:rsidR="00546C4F" w:rsidRPr="0087728E" w:rsidRDefault="00546C4F" w:rsidP="00A978D0">
      <w:pPr>
        <w:ind w:left="450"/>
        <w:rPr>
          <w:rFonts w:eastAsia="Calibri" w:cs="Arial"/>
          <w:b/>
          <w:bCs/>
          <w:szCs w:val="24"/>
        </w:rPr>
      </w:pPr>
      <w:bookmarkStart w:id="19" w:name="_Hlk143175916"/>
      <w:r w:rsidRPr="0087728E">
        <w:rPr>
          <w:rFonts w:eastAsia="Calibri" w:cs="Arial"/>
          <w:b/>
          <w:bCs/>
          <w:szCs w:val="24"/>
        </w:rPr>
        <w:t xml:space="preserve">517.42 Essential </w:t>
      </w:r>
      <w:r>
        <w:rPr>
          <w:rFonts w:eastAsia="Calibri" w:cs="Arial"/>
          <w:b/>
          <w:bCs/>
          <w:szCs w:val="24"/>
        </w:rPr>
        <w:t xml:space="preserve">Electrical </w:t>
      </w:r>
      <w:r w:rsidRPr="0087728E">
        <w:rPr>
          <w:rFonts w:eastAsia="Calibri" w:cs="Arial"/>
          <w:b/>
          <w:bCs/>
          <w:szCs w:val="24"/>
        </w:rPr>
        <w:t>Systems for Nursing Homes and Limited Care Facilities.</w:t>
      </w:r>
      <w:bookmarkEnd w:id="19"/>
    </w:p>
    <w:p w14:paraId="5A039AE4" w14:textId="02EC473D" w:rsidR="00546C4F" w:rsidRDefault="00546C4F" w:rsidP="00A978D0">
      <w:pPr>
        <w:ind w:left="720" w:firstLine="270"/>
        <w:rPr>
          <w:rFonts w:cs="Arial"/>
          <w:b/>
          <w:bCs/>
          <w:szCs w:val="24"/>
        </w:rPr>
      </w:pPr>
      <w:r>
        <w:rPr>
          <w:rFonts w:cs="Arial"/>
          <w:b/>
          <w:bCs/>
          <w:szCs w:val="24"/>
        </w:rPr>
        <w:t>…</w:t>
      </w:r>
    </w:p>
    <w:p w14:paraId="5913D11D" w14:textId="23523197" w:rsidR="00BC172A" w:rsidRPr="00BC172A" w:rsidRDefault="00BC172A" w:rsidP="00A978D0">
      <w:pPr>
        <w:ind w:left="720"/>
        <w:rPr>
          <w:i/>
          <w:iCs/>
          <w:u w:val="single"/>
        </w:rPr>
      </w:pPr>
      <w:r w:rsidRPr="00214F36">
        <w:rPr>
          <w:b/>
          <w:bCs/>
          <w:i/>
          <w:iCs/>
          <w:u w:val="single"/>
        </w:rPr>
        <w:t>(G)</w:t>
      </w:r>
      <w:r w:rsidRPr="00BC172A">
        <w:rPr>
          <w:b/>
          <w:bCs/>
          <w:i/>
          <w:iCs/>
          <w:u w:val="single"/>
        </w:rPr>
        <w:t xml:space="preserve"> [SFM, OSHPD 2, 4 &amp; 5] On-site energy storage systems and fuel </w:t>
      </w:r>
      <w:r w:rsidRPr="00214F36">
        <w:rPr>
          <w:b/>
          <w:bCs/>
          <w:i/>
          <w:iCs/>
          <w:u w:val="single"/>
        </w:rPr>
        <w:t>supply.</w:t>
      </w:r>
      <w:r w:rsidRPr="00214F36">
        <w:rPr>
          <w:i/>
          <w:iCs/>
          <w:u w:val="single"/>
        </w:rPr>
        <w:t xml:space="preserve"> The on-site Essential Electrical System sources (or set of</w:t>
      </w:r>
      <w:r w:rsidRPr="00BC172A">
        <w:rPr>
          <w:i/>
          <w:iCs/>
          <w:u w:val="single"/>
        </w:rPr>
        <w:t xml:space="preserve"> sources) shall have sufficient resources on-site to provide continuous essential power as follows:</w:t>
      </w:r>
    </w:p>
    <w:p w14:paraId="5EB7A1A7" w14:textId="2EBD55CD" w:rsidR="00C60C2D" w:rsidRPr="00C60C2D" w:rsidRDefault="00BC172A" w:rsidP="00C60C2D">
      <w:pPr>
        <w:ind w:left="1440"/>
        <w:rPr>
          <w:i/>
          <w:iCs/>
          <w:u w:val="single"/>
        </w:rPr>
      </w:pPr>
      <w:r w:rsidRPr="00BC172A">
        <w:rPr>
          <w:b/>
          <w:bCs/>
          <w:i/>
          <w:iCs/>
          <w:u w:val="single"/>
        </w:rPr>
        <w:t>(1) [SFM, OSHPD 2, 4 &amp; 5]</w:t>
      </w:r>
      <w:r w:rsidRPr="00BC172A">
        <w:rPr>
          <w:i/>
          <w:iCs/>
          <w:u w:val="single"/>
        </w:rPr>
        <w:t xml:space="preserve"> </w:t>
      </w:r>
      <w:r w:rsidR="00C60C2D" w:rsidRPr="00C60C2D">
        <w:rPr>
          <w:i/>
          <w:iCs/>
          <w:u w:val="single"/>
        </w:rPr>
        <w:t xml:space="preserve">For the following health facilities of seven or more beds: correctional treatment centers that provide only basic services, acute psychiatric hospitals, intermediate care facilities, and skilled nursing facilities, on-site resources shall </w:t>
      </w:r>
      <w:proofErr w:type="gramStart"/>
      <w:r w:rsidR="00C60C2D" w:rsidRPr="00C60C2D">
        <w:rPr>
          <w:i/>
          <w:iCs/>
          <w:u w:val="single"/>
        </w:rPr>
        <w:t>be available at all times</w:t>
      </w:r>
      <w:proofErr w:type="gramEnd"/>
      <w:r w:rsidR="00C60C2D" w:rsidRPr="00C60C2D">
        <w:rPr>
          <w:i/>
          <w:iCs/>
          <w:u w:val="single"/>
        </w:rPr>
        <w:t xml:space="preserve"> sufficient to support not less than 6 hours at full output of the required Emergency Power Supply System (EPSS). On-Site fuel for redundant power sources is not required (i.e., for N+1 generators fuel is required for N generators only).</w:t>
      </w:r>
    </w:p>
    <w:p w14:paraId="416AEF46" w14:textId="45C16BE5" w:rsidR="00F3096C" w:rsidRDefault="00C60C2D" w:rsidP="00C60C2D">
      <w:pPr>
        <w:ind w:left="1440"/>
      </w:pPr>
      <w:r w:rsidRPr="00C60C2D">
        <w:rPr>
          <w:i/>
          <w:iCs/>
          <w:u w:val="single"/>
        </w:rPr>
        <w:t>(2) [SFM, OSHPD 2] For skilled nursing facilities that have an alternate source of power that is independent of the EES that provides power for mechanical equipment required to maintain safe temperatures, life-saving equipment and oxygen generating devices to meet requirements of CEC 517.1(B), sufficient onsite fuel (or contractual arrangement) shall be provided to operate the EPSS for 96 hours.</w:t>
      </w:r>
      <w:r w:rsidR="00BC172A">
        <w:t>…</w:t>
      </w:r>
    </w:p>
    <w:p w14:paraId="3AF37434" w14:textId="58FBEBFD" w:rsidR="00BC172A" w:rsidRDefault="00BC172A" w:rsidP="00A978D0">
      <w:pPr>
        <w:ind w:firstLine="450"/>
        <w:rPr>
          <w:b/>
          <w:bCs/>
        </w:rPr>
      </w:pPr>
      <w:r w:rsidRPr="00BC172A">
        <w:rPr>
          <w:b/>
          <w:bCs/>
        </w:rPr>
        <w:t>517.45 Essential Electrical Systems for Other Health Care Facilities.</w:t>
      </w:r>
    </w:p>
    <w:p w14:paraId="1EE57ABD" w14:textId="0D1C6A35" w:rsidR="00BC172A" w:rsidRDefault="00BC172A" w:rsidP="00A978D0">
      <w:pPr>
        <w:ind w:left="720" w:firstLine="270"/>
      </w:pPr>
      <w:r>
        <w:t>…</w:t>
      </w:r>
    </w:p>
    <w:p w14:paraId="5F9CCE11" w14:textId="76773927" w:rsidR="00BC172A" w:rsidRPr="00BC172A" w:rsidRDefault="00BC172A" w:rsidP="00A978D0">
      <w:pPr>
        <w:ind w:left="720"/>
        <w:rPr>
          <w:i/>
          <w:iCs/>
          <w:u w:val="single"/>
        </w:rPr>
      </w:pPr>
      <w:r w:rsidRPr="00BC172A">
        <w:rPr>
          <w:b/>
          <w:bCs/>
          <w:i/>
          <w:iCs/>
          <w:u w:val="single"/>
        </w:rPr>
        <w:t>(H) [SFM, OSHPD 3 (Surgical Clinics only)]</w:t>
      </w:r>
      <w:r w:rsidRPr="00BC172A">
        <w:rPr>
          <w:i/>
          <w:iCs/>
          <w:u w:val="single"/>
        </w:rPr>
        <w:t xml:space="preserve"> For ambulatory surgical clinics, sufficient resources on-site and shall </w:t>
      </w:r>
      <w:proofErr w:type="gramStart"/>
      <w:r w:rsidRPr="00BC172A">
        <w:rPr>
          <w:i/>
          <w:iCs/>
          <w:u w:val="single"/>
        </w:rPr>
        <w:t>be available at all times</w:t>
      </w:r>
      <w:proofErr w:type="gramEnd"/>
      <w:r w:rsidRPr="00BC172A">
        <w:rPr>
          <w:i/>
          <w:iCs/>
          <w:u w:val="single"/>
        </w:rPr>
        <w:t xml:space="preserve"> to provide not less than 4 hours at full output of the required Emergency Power Supply System (EPSS).  </w:t>
      </w:r>
    </w:p>
    <w:p w14:paraId="703C5EC3" w14:textId="77777777" w:rsidR="008E558A" w:rsidRDefault="00724832" w:rsidP="001613B2">
      <w:pPr>
        <w:pStyle w:val="Heading4"/>
        <w:ind w:left="0"/>
        <w:rPr>
          <w:noProof/>
        </w:rPr>
      </w:pPr>
      <w:r w:rsidRPr="002364D8">
        <w:t>ITEM 7-</w:t>
      </w:r>
      <w:r w:rsidR="0031250E">
        <w:t>2</w:t>
      </w:r>
      <w:r w:rsidRPr="002364D8">
        <w:br/>
      </w:r>
      <w:r w:rsidRPr="00AC7B28">
        <w:t>Article 590 Temporary Installation</w:t>
      </w:r>
      <w:bookmarkStart w:id="20" w:name="_Hlk157560363"/>
    </w:p>
    <w:p w14:paraId="648BA775" w14:textId="4697565C" w:rsidR="001613B2" w:rsidRPr="001613B2" w:rsidRDefault="00724832" w:rsidP="008E558A">
      <w:pPr>
        <w:rPr>
          <w:b/>
          <w:snapToGrid/>
        </w:rPr>
      </w:pPr>
      <w:bookmarkStart w:id="21" w:name="_Hlk164116984"/>
      <w:r w:rsidRPr="00F775F3">
        <w:rPr>
          <w:rFonts w:eastAsia="Times New Roman"/>
          <w:snapToGrid/>
        </w:rPr>
        <w:t>[</w:t>
      </w:r>
      <w:bookmarkStart w:id="22" w:name="_Hlk155355338"/>
      <w:r w:rsidRPr="00F775F3">
        <w:rPr>
          <w:snapToGrid/>
        </w:rPr>
        <w:t xml:space="preserve">The SFM is proposing the adoption of Article </w:t>
      </w:r>
      <w:r w:rsidRPr="00F775F3">
        <w:rPr>
          <w:snapToGrid/>
          <w:color w:val="000000"/>
        </w:rPr>
        <w:t>590</w:t>
      </w:r>
      <w:r w:rsidR="00ED2AF5" w:rsidRPr="00F775F3">
        <w:rPr>
          <w:snapToGrid/>
          <w:color w:val="000000"/>
        </w:rPr>
        <w:t xml:space="preserve">, </w:t>
      </w:r>
      <w:r w:rsidR="00A978D0">
        <w:rPr>
          <w:snapToGrid/>
          <w:color w:val="000000"/>
        </w:rPr>
        <w:t>carrying</w:t>
      </w:r>
      <w:r w:rsidR="00ED2AF5" w:rsidRPr="00F775F3">
        <w:rPr>
          <w:snapToGrid/>
          <w:color w:val="000000"/>
        </w:rPr>
        <w:t xml:space="preserve"> forward the deletion of </w:t>
      </w:r>
      <w:r w:rsidRPr="00F775F3">
        <w:rPr>
          <w:snapToGrid/>
          <w:color w:val="000000"/>
        </w:rPr>
        <w:t>Section 590.3 (C)</w:t>
      </w:r>
      <w:r w:rsidR="00A978D0">
        <w:rPr>
          <w:snapToGrid/>
          <w:color w:val="000000"/>
        </w:rPr>
        <w:t>,</w:t>
      </w:r>
      <w:r w:rsidR="00236462" w:rsidRPr="00F775F3">
        <w:rPr>
          <w:snapToGrid/>
        </w:rPr>
        <w:t xml:space="preserve"> and </w:t>
      </w:r>
      <w:r w:rsidR="00A978D0">
        <w:rPr>
          <w:snapToGrid/>
        </w:rPr>
        <w:t>carrying</w:t>
      </w:r>
      <w:r w:rsidR="00ED2AF5" w:rsidRPr="00F775F3">
        <w:rPr>
          <w:snapToGrid/>
        </w:rPr>
        <w:t xml:space="preserve"> forward</w:t>
      </w:r>
      <w:r w:rsidR="00236462" w:rsidRPr="00F775F3">
        <w:rPr>
          <w:snapToGrid/>
        </w:rPr>
        <w:t xml:space="preserve"> the existing SFM amendment of Section 590.3 (C.1).</w:t>
      </w:r>
      <w:bookmarkEnd w:id="22"/>
      <w:r w:rsidRPr="00F775F3">
        <w:rPr>
          <w:snapToGrid/>
        </w:rPr>
        <w:t>]</w:t>
      </w:r>
      <w:bookmarkEnd w:id="20"/>
    </w:p>
    <w:bookmarkEnd w:id="21"/>
    <w:p w14:paraId="6CAB1EBF" w14:textId="77777777" w:rsidR="008E558A" w:rsidRPr="0046521A" w:rsidRDefault="008E558A" w:rsidP="008E558A">
      <w:pPr>
        <w:pStyle w:val="Heading4"/>
        <w:spacing w:before="120"/>
        <w:ind w:left="0"/>
      </w:pPr>
      <w:r w:rsidRPr="0046521A">
        <w:lastRenderedPageBreak/>
        <w:t xml:space="preserve">Notation: </w:t>
      </w:r>
    </w:p>
    <w:p w14:paraId="4FB3B0E1"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C39AECC" w14:textId="0A007C78"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F25D6B5" w14:textId="63E6919E" w:rsidR="00236462" w:rsidRPr="00F03FB5" w:rsidRDefault="00236462" w:rsidP="00F03FB5">
      <w:pPr>
        <w:pStyle w:val="Heading3"/>
      </w:pPr>
      <w:r w:rsidRPr="00F03FB5">
        <w:t>ITEM 8</w:t>
      </w:r>
      <w:r w:rsidRPr="00F03FB5">
        <w:br/>
        <w:t>Chapter 6 Special Equipment</w:t>
      </w:r>
    </w:p>
    <w:p w14:paraId="38665020" w14:textId="56D117AF" w:rsidR="00E1356B" w:rsidRPr="00777462" w:rsidRDefault="00236462" w:rsidP="00777462">
      <w:pPr>
        <w:rPr>
          <w:rFonts w:cs="Arial"/>
          <w:snapToGrid/>
          <w:szCs w:val="24"/>
        </w:rPr>
      </w:pPr>
      <w:r>
        <w:rPr>
          <w:rFonts w:cs="Arial"/>
          <w:snapToGrid/>
          <w:szCs w:val="24"/>
        </w:rPr>
        <w:t>[</w:t>
      </w:r>
      <w:r w:rsidR="00E1356B" w:rsidRPr="002F436A">
        <w:rPr>
          <w:rFonts w:cs="Arial"/>
          <w:snapToGrid/>
          <w:szCs w:val="24"/>
        </w:rPr>
        <w:t xml:space="preserve">The SFM is proposing the adoption </w:t>
      </w:r>
      <w:r w:rsidR="00BF1B38">
        <w:rPr>
          <w:rFonts w:cs="Arial"/>
          <w:snapToGrid/>
          <w:szCs w:val="24"/>
        </w:rPr>
        <w:t>of</w:t>
      </w:r>
      <w:r w:rsidR="00E1356B" w:rsidRPr="002F436A">
        <w:rPr>
          <w:rFonts w:cs="Arial"/>
          <w:snapToGrid/>
          <w:szCs w:val="24"/>
        </w:rPr>
        <w:t xml:space="preserve"> </w:t>
      </w:r>
      <w:r w:rsidR="0031250E">
        <w:rPr>
          <w:rFonts w:cs="Arial"/>
          <w:snapToGrid/>
          <w:szCs w:val="24"/>
        </w:rPr>
        <w:t xml:space="preserve">the following </w:t>
      </w:r>
      <w:r w:rsidR="00E1356B" w:rsidRPr="002F436A">
        <w:rPr>
          <w:rFonts w:cs="Arial"/>
          <w:snapToGrid/>
          <w:szCs w:val="24"/>
        </w:rPr>
        <w:t xml:space="preserve">Articles </w:t>
      </w:r>
      <w:r w:rsidR="0031250E">
        <w:rPr>
          <w:rFonts w:cs="Arial"/>
          <w:snapToGrid/>
          <w:szCs w:val="24"/>
        </w:rPr>
        <w:t>and carry</w:t>
      </w:r>
      <w:r w:rsidR="00A978D0">
        <w:rPr>
          <w:rFonts w:cs="Arial"/>
          <w:snapToGrid/>
          <w:szCs w:val="24"/>
        </w:rPr>
        <w:t xml:space="preserve">ing </w:t>
      </w:r>
      <w:r w:rsidR="0031250E">
        <w:rPr>
          <w:rFonts w:cs="Arial"/>
          <w:snapToGrid/>
          <w:szCs w:val="24"/>
        </w:rPr>
        <w:t xml:space="preserve">over </w:t>
      </w:r>
      <w:r w:rsidR="00E1356B">
        <w:rPr>
          <w:rFonts w:cs="Arial"/>
          <w:snapToGrid/>
          <w:szCs w:val="24"/>
        </w:rPr>
        <w:t xml:space="preserve">existing </w:t>
      </w:r>
      <w:r w:rsidR="00E1356B" w:rsidRPr="002F436A">
        <w:rPr>
          <w:rFonts w:cs="Arial"/>
          <w:snapToGrid/>
          <w:szCs w:val="24"/>
        </w:rPr>
        <w:t>amendments</w:t>
      </w:r>
      <w:r w:rsidR="0031250E">
        <w:rPr>
          <w:rFonts w:cs="Arial"/>
          <w:snapToGrid/>
          <w:szCs w:val="24"/>
        </w:rPr>
        <w:t xml:space="preserve"> </w:t>
      </w:r>
      <w:r w:rsidR="002A2854">
        <w:rPr>
          <w:rFonts w:cs="Arial"/>
          <w:snapToGrid/>
          <w:szCs w:val="24"/>
        </w:rPr>
        <w:t>as shown in Item 8-1.]</w:t>
      </w:r>
    </w:p>
    <w:p w14:paraId="29B4225E" w14:textId="77777777" w:rsidR="008F783D" w:rsidRDefault="008F783D" w:rsidP="008F783D">
      <w:pPr>
        <w:rPr>
          <w:rFonts w:cs="Arial"/>
          <w:snapToGrid/>
          <w:szCs w:val="24"/>
        </w:rPr>
      </w:pPr>
      <w:r>
        <w:tab/>
        <w:t xml:space="preserve">Article </w:t>
      </w:r>
      <w:r w:rsidRPr="002F436A">
        <w:rPr>
          <w:rFonts w:cs="Arial"/>
          <w:snapToGrid/>
          <w:szCs w:val="24"/>
        </w:rPr>
        <w:t>600</w:t>
      </w:r>
      <w:r>
        <w:rPr>
          <w:rFonts w:cs="Arial"/>
          <w:snapToGrid/>
          <w:szCs w:val="24"/>
        </w:rPr>
        <w:t xml:space="preserve"> Electric Signs and Outline Lighting</w:t>
      </w:r>
    </w:p>
    <w:p w14:paraId="44350A2B"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604</w:t>
      </w:r>
      <w:r>
        <w:rPr>
          <w:rFonts w:cs="Arial"/>
          <w:snapToGrid/>
          <w:szCs w:val="24"/>
        </w:rPr>
        <w:t xml:space="preserve"> Manufactured Wiring Systems</w:t>
      </w:r>
    </w:p>
    <w:p w14:paraId="6ECD40E5"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605</w:t>
      </w:r>
      <w:r>
        <w:rPr>
          <w:rFonts w:cs="Arial"/>
          <w:snapToGrid/>
          <w:szCs w:val="24"/>
        </w:rPr>
        <w:t xml:space="preserve"> Office Furnishings</w:t>
      </w:r>
    </w:p>
    <w:p w14:paraId="51D9A6A8" w14:textId="77777777" w:rsidR="008F783D" w:rsidRDefault="008F783D" w:rsidP="008F783D">
      <w:pPr>
        <w:ind w:firstLine="720"/>
        <w:rPr>
          <w:rFonts w:cs="Arial"/>
          <w:snapToGrid/>
          <w:szCs w:val="24"/>
        </w:rPr>
      </w:pPr>
      <w:r>
        <w:rPr>
          <w:rFonts w:cs="Arial"/>
          <w:snapToGrid/>
          <w:szCs w:val="24"/>
        </w:rPr>
        <w:t xml:space="preserve">Article </w:t>
      </w:r>
      <w:r w:rsidRPr="002F436A">
        <w:rPr>
          <w:rFonts w:cs="Arial"/>
          <w:snapToGrid/>
          <w:szCs w:val="24"/>
        </w:rPr>
        <w:t>610</w:t>
      </w:r>
      <w:r>
        <w:rPr>
          <w:rFonts w:cs="Arial"/>
          <w:snapToGrid/>
          <w:szCs w:val="24"/>
        </w:rPr>
        <w:t xml:space="preserve"> Cranes and Hoists</w:t>
      </w:r>
    </w:p>
    <w:p w14:paraId="1B44301E" w14:textId="77777777" w:rsidR="008F783D" w:rsidRDefault="008F783D" w:rsidP="008F783D">
      <w:pPr>
        <w:ind w:left="720"/>
        <w:rPr>
          <w:rFonts w:cs="Arial"/>
          <w:snapToGrid/>
          <w:szCs w:val="24"/>
        </w:rPr>
      </w:pPr>
      <w:r>
        <w:rPr>
          <w:rFonts w:cs="Arial"/>
          <w:snapToGrid/>
          <w:szCs w:val="24"/>
        </w:rPr>
        <w:t>Article</w:t>
      </w:r>
      <w:r w:rsidRPr="002F436A">
        <w:rPr>
          <w:rFonts w:cs="Arial"/>
          <w:snapToGrid/>
          <w:szCs w:val="24"/>
        </w:rPr>
        <w:t xml:space="preserve"> 620</w:t>
      </w:r>
      <w:r>
        <w:rPr>
          <w:rFonts w:cs="Arial"/>
          <w:snapToGrid/>
          <w:szCs w:val="24"/>
        </w:rPr>
        <w:t xml:space="preserve"> Elevators, Dumbwaiters, Escalators, Moving Walks, Platform Lifts, and Stairway Chairlifts</w:t>
      </w:r>
    </w:p>
    <w:p w14:paraId="00F62619" w14:textId="7E203E88" w:rsidR="0031250E" w:rsidRDefault="0031250E" w:rsidP="008F783D">
      <w:pPr>
        <w:ind w:left="720"/>
        <w:rPr>
          <w:rFonts w:cs="Arial"/>
          <w:snapToGrid/>
          <w:szCs w:val="24"/>
        </w:rPr>
      </w:pPr>
      <w:r w:rsidRPr="00777462">
        <w:t>Article 625 Electric Vehicle Power Transfer System</w:t>
      </w:r>
    </w:p>
    <w:p w14:paraId="05C87D3C" w14:textId="4CF9C11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626</w:t>
      </w:r>
      <w:r>
        <w:rPr>
          <w:rFonts w:cs="Arial"/>
          <w:snapToGrid/>
          <w:szCs w:val="24"/>
        </w:rPr>
        <w:t xml:space="preserve"> Electrified Truck Parking Spaces</w:t>
      </w:r>
    </w:p>
    <w:p w14:paraId="1F314260"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630</w:t>
      </w:r>
      <w:r>
        <w:rPr>
          <w:rFonts w:cs="Arial"/>
          <w:snapToGrid/>
          <w:szCs w:val="24"/>
        </w:rPr>
        <w:t xml:space="preserve"> Electric Welders</w:t>
      </w:r>
    </w:p>
    <w:p w14:paraId="63784C51" w14:textId="05186D09"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640</w:t>
      </w:r>
      <w:r w:rsidR="00BB1A7E">
        <w:rPr>
          <w:rFonts w:cs="Arial"/>
          <w:snapToGrid/>
          <w:szCs w:val="24"/>
        </w:rPr>
        <w:t xml:space="preserve"> </w:t>
      </w:r>
      <w:r>
        <w:rPr>
          <w:rFonts w:cs="Arial"/>
          <w:snapToGrid/>
          <w:szCs w:val="24"/>
        </w:rPr>
        <w:t>Audio Signal Processing, Amplification, and Reproduction Equipment</w:t>
      </w:r>
    </w:p>
    <w:p w14:paraId="3D8A3279" w14:textId="77777777" w:rsidR="00BB1A7E"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645</w:t>
      </w:r>
      <w:r w:rsidR="00BB1A7E">
        <w:rPr>
          <w:rFonts w:cs="Arial"/>
          <w:snapToGrid/>
          <w:szCs w:val="24"/>
        </w:rPr>
        <w:t xml:space="preserve"> Information Technology Equipment</w:t>
      </w:r>
    </w:p>
    <w:p w14:paraId="5A291904" w14:textId="5153C172"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646</w:t>
      </w:r>
      <w:r>
        <w:rPr>
          <w:rFonts w:cs="Arial"/>
          <w:snapToGrid/>
          <w:szCs w:val="24"/>
        </w:rPr>
        <w:t xml:space="preserve"> Modular Data Centers</w:t>
      </w:r>
    </w:p>
    <w:p w14:paraId="23F11B94"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647</w:t>
      </w:r>
      <w:r>
        <w:rPr>
          <w:rFonts w:cs="Arial"/>
          <w:snapToGrid/>
          <w:szCs w:val="24"/>
        </w:rPr>
        <w:t xml:space="preserve"> Sensitive Electronic Equipment</w:t>
      </w:r>
    </w:p>
    <w:p w14:paraId="440FD55D"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650</w:t>
      </w:r>
      <w:r>
        <w:rPr>
          <w:rFonts w:cs="Arial"/>
          <w:snapToGrid/>
          <w:szCs w:val="24"/>
        </w:rPr>
        <w:t xml:space="preserve"> Pipe Organs</w:t>
      </w:r>
    </w:p>
    <w:p w14:paraId="0EAE69A2"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660</w:t>
      </w:r>
      <w:r>
        <w:rPr>
          <w:rFonts w:cs="Arial"/>
          <w:snapToGrid/>
          <w:szCs w:val="24"/>
        </w:rPr>
        <w:t xml:space="preserve"> X-Ray Equipment</w:t>
      </w:r>
    </w:p>
    <w:p w14:paraId="2BFEC948"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665</w:t>
      </w:r>
      <w:r>
        <w:rPr>
          <w:rFonts w:cs="Arial"/>
          <w:snapToGrid/>
          <w:szCs w:val="24"/>
        </w:rPr>
        <w:t xml:space="preserve"> Induction and Dielectric Heating Equipment</w:t>
      </w:r>
    </w:p>
    <w:p w14:paraId="1AE78A61"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668</w:t>
      </w:r>
      <w:r>
        <w:rPr>
          <w:rFonts w:cs="Arial"/>
          <w:snapToGrid/>
          <w:szCs w:val="24"/>
        </w:rPr>
        <w:t xml:space="preserve"> Electrolytic Cells</w:t>
      </w:r>
    </w:p>
    <w:p w14:paraId="7FCF75B5" w14:textId="4536D504"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669</w:t>
      </w:r>
      <w:r>
        <w:rPr>
          <w:rFonts w:cs="Arial"/>
          <w:snapToGrid/>
          <w:szCs w:val="24"/>
        </w:rPr>
        <w:t xml:space="preserve"> Electroplating</w:t>
      </w:r>
    </w:p>
    <w:p w14:paraId="29E9DB88"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670</w:t>
      </w:r>
      <w:r>
        <w:rPr>
          <w:rFonts w:cs="Arial"/>
          <w:snapToGrid/>
          <w:szCs w:val="24"/>
        </w:rPr>
        <w:t xml:space="preserve"> Industrial Machinery</w:t>
      </w:r>
    </w:p>
    <w:p w14:paraId="15119267" w14:textId="77777777" w:rsidR="00BB1A7E" w:rsidRDefault="00BB1A7E" w:rsidP="008F783D">
      <w:pPr>
        <w:ind w:firstLine="720"/>
        <w:rPr>
          <w:rFonts w:cs="Arial"/>
          <w:snapToGrid/>
          <w:szCs w:val="24"/>
        </w:rPr>
      </w:pPr>
      <w:r>
        <w:rPr>
          <w:rFonts w:cs="Arial"/>
          <w:snapToGrid/>
          <w:szCs w:val="24"/>
        </w:rPr>
        <w:t xml:space="preserve">Article </w:t>
      </w:r>
      <w:r w:rsidR="008F783D" w:rsidRPr="002F436A">
        <w:rPr>
          <w:rFonts w:cs="Arial"/>
          <w:snapToGrid/>
          <w:szCs w:val="24"/>
        </w:rPr>
        <w:t>675</w:t>
      </w:r>
      <w:r>
        <w:rPr>
          <w:rFonts w:cs="Arial"/>
          <w:snapToGrid/>
          <w:szCs w:val="24"/>
        </w:rPr>
        <w:t xml:space="preserve"> Electrically Driven or Controlled Irrigation Machines</w:t>
      </w:r>
    </w:p>
    <w:p w14:paraId="36AC7D8A" w14:textId="142C5EAE"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680</w:t>
      </w:r>
      <w:r>
        <w:rPr>
          <w:rFonts w:cs="Arial"/>
          <w:snapToGrid/>
          <w:szCs w:val="24"/>
        </w:rPr>
        <w:t xml:space="preserve"> Swimming Pools, Fountains, and Similar Installations</w:t>
      </w:r>
    </w:p>
    <w:p w14:paraId="3C99C9FA"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682</w:t>
      </w:r>
      <w:r>
        <w:rPr>
          <w:rFonts w:cs="Arial"/>
          <w:snapToGrid/>
          <w:szCs w:val="24"/>
        </w:rPr>
        <w:t xml:space="preserve"> Natural and Artificially Made Bodies of Water</w:t>
      </w:r>
    </w:p>
    <w:p w14:paraId="0E9CE5C6" w14:textId="77777777" w:rsidR="00BB1A7E" w:rsidRDefault="00BB1A7E" w:rsidP="008F783D">
      <w:pPr>
        <w:ind w:firstLine="720"/>
        <w:rPr>
          <w:rFonts w:cs="Arial"/>
          <w:snapToGrid/>
          <w:szCs w:val="24"/>
        </w:rPr>
      </w:pPr>
      <w:r>
        <w:rPr>
          <w:rFonts w:cs="Arial"/>
          <w:snapToGrid/>
          <w:szCs w:val="24"/>
        </w:rPr>
        <w:lastRenderedPageBreak/>
        <w:t>Article</w:t>
      </w:r>
      <w:r w:rsidR="008F783D" w:rsidRPr="002F436A">
        <w:rPr>
          <w:rFonts w:cs="Arial"/>
          <w:snapToGrid/>
          <w:szCs w:val="24"/>
        </w:rPr>
        <w:t xml:space="preserve"> 685</w:t>
      </w:r>
      <w:r>
        <w:rPr>
          <w:rFonts w:cs="Arial"/>
          <w:snapToGrid/>
          <w:szCs w:val="24"/>
        </w:rPr>
        <w:t xml:space="preserve"> Integrated Electrical Systems</w:t>
      </w:r>
    </w:p>
    <w:p w14:paraId="4F4A0EFD"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690</w:t>
      </w:r>
      <w:r>
        <w:rPr>
          <w:rFonts w:cs="Arial"/>
          <w:snapToGrid/>
          <w:szCs w:val="24"/>
        </w:rPr>
        <w:t xml:space="preserve"> Solar Photovoltaic (PV) Systems</w:t>
      </w:r>
    </w:p>
    <w:p w14:paraId="24DCAE01"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691</w:t>
      </w:r>
      <w:r>
        <w:rPr>
          <w:rFonts w:cs="Arial"/>
          <w:snapToGrid/>
          <w:szCs w:val="24"/>
        </w:rPr>
        <w:t xml:space="preserve"> Large-Scale Photovoltaic (PV) Electric Supply Stations</w:t>
      </w:r>
    </w:p>
    <w:p w14:paraId="5F70A5C5"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692</w:t>
      </w:r>
      <w:r>
        <w:rPr>
          <w:rFonts w:cs="Arial"/>
          <w:snapToGrid/>
          <w:szCs w:val="24"/>
        </w:rPr>
        <w:t xml:space="preserve"> Fuel Cell Systems</w:t>
      </w:r>
    </w:p>
    <w:p w14:paraId="030B34FF"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w:t>
      </w:r>
      <w:r>
        <w:rPr>
          <w:rFonts w:cs="Arial"/>
          <w:snapToGrid/>
          <w:szCs w:val="24"/>
        </w:rPr>
        <w:t>4 Wind Electric Systems</w:t>
      </w:r>
    </w:p>
    <w:p w14:paraId="08D7C143" w14:textId="1D0DF06C" w:rsidR="008F783D" w:rsidRPr="008F783D" w:rsidRDefault="00BB1A7E" w:rsidP="008F783D">
      <w:pPr>
        <w:ind w:firstLine="720"/>
      </w:pPr>
      <w:r>
        <w:rPr>
          <w:rFonts w:cs="Arial"/>
          <w:snapToGrid/>
          <w:szCs w:val="24"/>
        </w:rPr>
        <w:t>Article</w:t>
      </w:r>
      <w:r w:rsidR="008F783D" w:rsidRPr="002F436A">
        <w:rPr>
          <w:rFonts w:cs="Arial"/>
          <w:snapToGrid/>
          <w:szCs w:val="24"/>
        </w:rPr>
        <w:t xml:space="preserve"> 695</w:t>
      </w:r>
      <w:r>
        <w:rPr>
          <w:rFonts w:cs="Arial"/>
          <w:snapToGrid/>
          <w:szCs w:val="24"/>
        </w:rPr>
        <w:t xml:space="preserve"> Fire Pumps</w:t>
      </w:r>
    </w:p>
    <w:p w14:paraId="1DCBB580" w14:textId="2BB04553" w:rsidR="00E1356B" w:rsidRPr="00777462" w:rsidRDefault="00E1356B" w:rsidP="00777462">
      <w:pPr>
        <w:pStyle w:val="Heading4"/>
      </w:pPr>
      <w:r w:rsidRPr="00777462">
        <w:t>ITEM 8-</w:t>
      </w:r>
      <w:r w:rsidR="0031250E">
        <w:t>1</w:t>
      </w:r>
      <w:r w:rsidRPr="00777462">
        <w:br/>
      </w:r>
      <w:r w:rsidR="00430138" w:rsidRPr="00777462">
        <w:t>Article 625 Electric Vehicle Power Transfer System, 625.52</w:t>
      </w:r>
      <w:r w:rsidR="0075081F">
        <w:t>.</w:t>
      </w:r>
    </w:p>
    <w:p w14:paraId="39E77870" w14:textId="4F21CB7F" w:rsidR="00236462" w:rsidRPr="00A978D0" w:rsidRDefault="00430138" w:rsidP="00A978D0">
      <w:pPr>
        <w:ind w:left="360"/>
        <w:rPr>
          <w:rFonts w:cs="Arial"/>
          <w:bCs/>
          <w:snapToGrid/>
          <w:szCs w:val="24"/>
        </w:rPr>
      </w:pPr>
      <w:bookmarkStart w:id="23" w:name="_Hlk157560628"/>
      <w:r w:rsidRPr="00F775F3">
        <w:rPr>
          <w:rFonts w:cs="Arial"/>
          <w:snapToGrid/>
          <w:szCs w:val="24"/>
        </w:rPr>
        <w:t>[</w:t>
      </w:r>
      <w:r w:rsidR="00A978D0" w:rsidRPr="00A978D0">
        <w:rPr>
          <w:rFonts w:cs="Arial"/>
          <w:snapToGrid/>
          <w:szCs w:val="24"/>
        </w:rPr>
        <w:t>The SFM is proposing the adoption of Article 625, carrying forward the deletion of</w:t>
      </w:r>
      <w:r w:rsidR="00A978D0" w:rsidRPr="00A978D0">
        <w:rPr>
          <w:rFonts w:cs="Arial"/>
          <w:bCs/>
          <w:snapToGrid/>
          <w:szCs w:val="24"/>
        </w:rPr>
        <w:t xml:space="preserve"> Section 625.52 (B), and carrying forward the existing SFM amendment of Section </w:t>
      </w:r>
      <w:r w:rsidR="00A978D0" w:rsidRPr="00A978D0">
        <w:rPr>
          <w:rFonts w:cs="Arial"/>
          <w:bCs/>
          <w:i/>
          <w:iCs/>
          <w:snapToGrid/>
          <w:szCs w:val="24"/>
        </w:rPr>
        <w:t>625.52 (C)</w:t>
      </w:r>
      <w:r w:rsidR="00A978D0" w:rsidRPr="00A978D0">
        <w:rPr>
          <w:rFonts w:cs="Arial"/>
          <w:bCs/>
          <w:snapToGrid/>
          <w:szCs w:val="24"/>
        </w:rPr>
        <w:t>.</w:t>
      </w:r>
      <w:r w:rsidR="00A978D0">
        <w:rPr>
          <w:rFonts w:cs="Arial"/>
          <w:bCs/>
          <w:snapToGrid/>
          <w:szCs w:val="24"/>
        </w:rPr>
        <w:t>]</w:t>
      </w:r>
    </w:p>
    <w:p w14:paraId="17C1461A" w14:textId="77777777" w:rsidR="008E558A" w:rsidRPr="0046521A" w:rsidRDefault="008E558A" w:rsidP="008E558A">
      <w:pPr>
        <w:pStyle w:val="Heading4"/>
        <w:spacing w:before="120"/>
        <w:ind w:left="0"/>
      </w:pPr>
      <w:bookmarkStart w:id="24" w:name="_Hlk150263479"/>
      <w:bookmarkEnd w:id="23"/>
      <w:r w:rsidRPr="0046521A">
        <w:t xml:space="preserve">Notation: </w:t>
      </w:r>
    </w:p>
    <w:p w14:paraId="0980DCA6"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95AD92" w14:textId="0A0F56C8"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3445F3B" w14:textId="04968691" w:rsidR="00B077C7" w:rsidRPr="00F03FB5" w:rsidRDefault="001334A0" w:rsidP="00F03FB5">
      <w:pPr>
        <w:pStyle w:val="Heading3"/>
      </w:pPr>
      <w:r w:rsidRPr="00F03FB5">
        <w:t>ITEM</w:t>
      </w:r>
      <w:r w:rsidR="00B077C7" w:rsidRPr="00F03FB5">
        <w:t xml:space="preserve"> 9</w:t>
      </w:r>
      <w:r w:rsidR="00B077C7" w:rsidRPr="00F03FB5">
        <w:br/>
        <w:t>Chapter 7 Special Conditions</w:t>
      </w:r>
    </w:p>
    <w:p w14:paraId="6645E8CD" w14:textId="6D6ECDF4" w:rsidR="00A10BA7" w:rsidRDefault="00B077C7" w:rsidP="00B077C7">
      <w:pPr>
        <w:rPr>
          <w:rFonts w:cs="Arial"/>
          <w:snapToGrid/>
          <w:szCs w:val="24"/>
        </w:rPr>
      </w:pPr>
      <w:bookmarkStart w:id="25" w:name="_Hlk155947792"/>
      <w:r w:rsidRPr="005C3AB5">
        <w:rPr>
          <w:rFonts w:cs="Arial"/>
          <w:snapToGrid/>
          <w:szCs w:val="24"/>
        </w:rPr>
        <w:t>[</w:t>
      </w:r>
      <w:bookmarkStart w:id="26" w:name="_Hlk157534801"/>
      <w:r w:rsidRPr="005C3AB5">
        <w:rPr>
          <w:rFonts w:cs="Arial"/>
          <w:snapToGrid/>
          <w:szCs w:val="24"/>
        </w:rPr>
        <w:t>The SFM is proposing the adoption of th</w:t>
      </w:r>
      <w:r w:rsidR="0075081F">
        <w:rPr>
          <w:rFonts w:cs="Arial"/>
          <w:snapToGrid/>
          <w:szCs w:val="24"/>
        </w:rPr>
        <w:t>e following</w:t>
      </w:r>
      <w:r w:rsidRPr="005C3AB5">
        <w:rPr>
          <w:rFonts w:cs="Arial"/>
          <w:snapToGrid/>
          <w:szCs w:val="24"/>
        </w:rPr>
        <w:t xml:space="preserve"> Article</w:t>
      </w:r>
      <w:r w:rsidR="0075081F">
        <w:rPr>
          <w:rFonts w:cs="Arial"/>
          <w:snapToGrid/>
          <w:szCs w:val="24"/>
        </w:rPr>
        <w:t xml:space="preserve">s, </w:t>
      </w:r>
      <w:r w:rsidR="00A978D0">
        <w:rPr>
          <w:rFonts w:cs="Arial"/>
          <w:snapToGrid/>
          <w:szCs w:val="24"/>
        </w:rPr>
        <w:t>repealing</w:t>
      </w:r>
      <w:r w:rsidR="0075081F">
        <w:rPr>
          <w:rFonts w:cs="Arial"/>
          <w:snapToGrid/>
          <w:szCs w:val="24"/>
        </w:rPr>
        <w:t xml:space="preserve"> </w:t>
      </w:r>
      <w:r w:rsidRPr="005C3AB5">
        <w:rPr>
          <w:rFonts w:cs="Arial"/>
          <w:snapToGrid/>
          <w:szCs w:val="24"/>
        </w:rPr>
        <w:t>existing</w:t>
      </w:r>
      <w:r w:rsidR="0075081F">
        <w:rPr>
          <w:rFonts w:cs="Arial"/>
          <w:snapToGrid/>
          <w:szCs w:val="24"/>
        </w:rPr>
        <w:t xml:space="preserve"> 700.12 amendments</w:t>
      </w:r>
      <w:r w:rsidR="00141DBE">
        <w:rPr>
          <w:rFonts w:cs="Arial"/>
          <w:snapToGrid/>
          <w:szCs w:val="24"/>
        </w:rPr>
        <w:t xml:space="preserve"> in coordination with </w:t>
      </w:r>
      <w:r w:rsidR="003E487C">
        <w:rPr>
          <w:rFonts w:cs="Arial"/>
          <w:snapToGrid/>
          <w:szCs w:val="24"/>
        </w:rPr>
        <w:t>OSHPD,</w:t>
      </w:r>
      <w:r w:rsidR="0075081F">
        <w:rPr>
          <w:rFonts w:cs="Arial"/>
          <w:snapToGrid/>
          <w:szCs w:val="24"/>
        </w:rPr>
        <w:t xml:space="preserve"> and </w:t>
      </w:r>
      <w:r w:rsidR="00A978D0">
        <w:rPr>
          <w:rFonts w:cs="Arial"/>
          <w:snapToGrid/>
          <w:szCs w:val="24"/>
        </w:rPr>
        <w:t>carrying</w:t>
      </w:r>
      <w:r w:rsidR="0075081F">
        <w:rPr>
          <w:rFonts w:cs="Arial"/>
          <w:snapToGrid/>
          <w:szCs w:val="24"/>
        </w:rPr>
        <w:t xml:space="preserve"> over existing</w:t>
      </w:r>
      <w:r w:rsidRPr="005C3AB5">
        <w:rPr>
          <w:rFonts w:cs="Arial"/>
          <w:snapToGrid/>
          <w:szCs w:val="24"/>
        </w:rPr>
        <w:t xml:space="preserve"> amendments</w:t>
      </w:r>
      <w:r w:rsidR="0075081F">
        <w:rPr>
          <w:rFonts w:cs="Arial"/>
          <w:snapToGrid/>
          <w:szCs w:val="24"/>
        </w:rPr>
        <w:t xml:space="preserve"> to 760</w:t>
      </w:r>
      <w:r w:rsidR="002A2854">
        <w:rPr>
          <w:rFonts w:cs="Arial"/>
          <w:snapToGrid/>
          <w:szCs w:val="24"/>
        </w:rPr>
        <w:t xml:space="preserve"> as shown in </w:t>
      </w:r>
      <w:r w:rsidR="00A978D0">
        <w:rPr>
          <w:rFonts w:cs="Arial"/>
          <w:snapToGrid/>
          <w:szCs w:val="24"/>
        </w:rPr>
        <w:t>Items</w:t>
      </w:r>
      <w:r w:rsidR="002A2854">
        <w:rPr>
          <w:rFonts w:cs="Arial"/>
          <w:snapToGrid/>
          <w:szCs w:val="24"/>
        </w:rPr>
        <w:t xml:space="preserve"> 9-1 and 9-2</w:t>
      </w:r>
      <w:bookmarkEnd w:id="26"/>
      <w:r w:rsidR="0075081F">
        <w:rPr>
          <w:rFonts w:cs="Arial"/>
          <w:snapToGrid/>
          <w:szCs w:val="24"/>
        </w:rPr>
        <w:t>.</w:t>
      </w:r>
      <w:r w:rsidRPr="005C3AB5">
        <w:rPr>
          <w:rFonts w:cs="Arial"/>
          <w:snapToGrid/>
          <w:szCs w:val="24"/>
        </w:rPr>
        <w:t>]</w:t>
      </w:r>
    </w:p>
    <w:bookmarkEnd w:id="25"/>
    <w:p w14:paraId="5852CF4B" w14:textId="382ACE75" w:rsidR="00DC5856" w:rsidRDefault="00DC5856" w:rsidP="00DC5856">
      <w:pPr>
        <w:rPr>
          <w:rFonts w:cs="Arial"/>
          <w:snapToGrid/>
          <w:szCs w:val="24"/>
        </w:rPr>
      </w:pPr>
      <w:r>
        <w:tab/>
        <w:t xml:space="preserve">Article </w:t>
      </w:r>
      <w:r>
        <w:rPr>
          <w:rFonts w:cs="Arial"/>
          <w:snapToGrid/>
          <w:szCs w:val="24"/>
        </w:rPr>
        <w:t>700 Emergency Systems</w:t>
      </w:r>
    </w:p>
    <w:p w14:paraId="0E0A3D76" w14:textId="0069DD7C" w:rsidR="00DC5856" w:rsidRDefault="00DC5856" w:rsidP="00DC5856">
      <w:pPr>
        <w:rPr>
          <w:rFonts w:cs="Arial"/>
          <w:snapToGrid/>
          <w:szCs w:val="24"/>
        </w:rPr>
      </w:pPr>
      <w:r>
        <w:rPr>
          <w:rFonts w:cs="Arial"/>
          <w:snapToGrid/>
          <w:szCs w:val="24"/>
        </w:rPr>
        <w:tab/>
      </w:r>
      <w:r>
        <w:t xml:space="preserve">Article </w:t>
      </w:r>
      <w:r>
        <w:rPr>
          <w:rFonts w:cs="Arial"/>
          <w:snapToGrid/>
          <w:szCs w:val="24"/>
        </w:rPr>
        <w:t>701 Legally Required Standby Systems</w:t>
      </w:r>
    </w:p>
    <w:p w14:paraId="6601C390" w14:textId="55F1AB25" w:rsidR="00DC5856" w:rsidRDefault="00DC5856" w:rsidP="00DC5856">
      <w:pPr>
        <w:ind w:firstLine="720"/>
        <w:rPr>
          <w:rFonts w:cs="Arial"/>
          <w:snapToGrid/>
          <w:szCs w:val="24"/>
        </w:rPr>
      </w:pPr>
      <w:r>
        <w:t xml:space="preserve">Article </w:t>
      </w:r>
      <w:r>
        <w:rPr>
          <w:rFonts w:cs="Arial"/>
          <w:snapToGrid/>
          <w:szCs w:val="24"/>
        </w:rPr>
        <w:t>702 Optional Standby Systems</w:t>
      </w:r>
    </w:p>
    <w:p w14:paraId="2D949E2C" w14:textId="031D4912" w:rsidR="00DC5856" w:rsidRDefault="00DC5856" w:rsidP="00DC5856">
      <w:pPr>
        <w:ind w:firstLine="720"/>
        <w:rPr>
          <w:rFonts w:cs="Arial"/>
          <w:snapToGrid/>
          <w:szCs w:val="24"/>
        </w:rPr>
      </w:pPr>
      <w:r>
        <w:t xml:space="preserve">Article </w:t>
      </w:r>
      <w:r>
        <w:rPr>
          <w:rFonts w:cs="Arial"/>
          <w:snapToGrid/>
          <w:szCs w:val="24"/>
        </w:rPr>
        <w:t>705 Interconnected Electric Power Production Sources</w:t>
      </w:r>
    </w:p>
    <w:p w14:paraId="500C3C9A" w14:textId="1EF0C2FB" w:rsidR="00DC5856" w:rsidRDefault="00DC5856" w:rsidP="00DC5856">
      <w:pPr>
        <w:ind w:firstLine="720"/>
        <w:rPr>
          <w:rFonts w:cs="Arial"/>
          <w:snapToGrid/>
          <w:szCs w:val="24"/>
        </w:rPr>
      </w:pPr>
      <w:r>
        <w:t xml:space="preserve">Article </w:t>
      </w:r>
      <w:r>
        <w:rPr>
          <w:rFonts w:cs="Arial"/>
          <w:snapToGrid/>
          <w:szCs w:val="24"/>
        </w:rPr>
        <w:t>706 Energy Storage Systems</w:t>
      </w:r>
    </w:p>
    <w:p w14:paraId="2365399C" w14:textId="2FBC1640" w:rsidR="00DC5856" w:rsidRDefault="00DC5856" w:rsidP="00DC5856">
      <w:pPr>
        <w:ind w:firstLine="720"/>
        <w:rPr>
          <w:rFonts w:cs="Arial"/>
          <w:snapToGrid/>
          <w:szCs w:val="24"/>
        </w:rPr>
      </w:pPr>
      <w:r>
        <w:t xml:space="preserve">Article </w:t>
      </w:r>
      <w:r>
        <w:rPr>
          <w:rFonts w:cs="Arial"/>
          <w:snapToGrid/>
          <w:szCs w:val="24"/>
        </w:rPr>
        <w:t>708 Critical Operations Power Systems (COPS)</w:t>
      </w:r>
    </w:p>
    <w:p w14:paraId="2AA43B4F" w14:textId="3A47DF97" w:rsidR="00DC5856" w:rsidRDefault="00DC5856" w:rsidP="00DC5856">
      <w:pPr>
        <w:ind w:firstLine="720"/>
        <w:rPr>
          <w:rFonts w:cs="Arial"/>
          <w:snapToGrid/>
          <w:szCs w:val="24"/>
        </w:rPr>
      </w:pPr>
      <w:r>
        <w:t xml:space="preserve">Article </w:t>
      </w:r>
      <w:r>
        <w:rPr>
          <w:rFonts w:cs="Arial"/>
          <w:snapToGrid/>
          <w:szCs w:val="24"/>
        </w:rPr>
        <w:t>710 Stand-Alone Systems</w:t>
      </w:r>
    </w:p>
    <w:p w14:paraId="43B8E26D" w14:textId="36C9350E" w:rsidR="00DC5856" w:rsidRDefault="00DC5856" w:rsidP="00DC5856">
      <w:pPr>
        <w:ind w:firstLine="720"/>
        <w:rPr>
          <w:rFonts w:cs="Arial"/>
          <w:snapToGrid/>
          <w:szCs w:val="24"/>
        </w:rPr>
      </w:pPr>
      <w:r>
        <w:t xml:space="preserve">Article </w:t>
      </w:r>
      <w:r>
        <w:rPr>
          <w:rFonts w:cs="Arial"/>
          <w:snapToGrid/>
          <w:szCs w:val="24"/>
        </w:rPr>
        <w:t>722 Cables for Power-Limited Circuits and Fault-Managed Power Circuits</w:t>
      </w:r>
    </w:p>
    <w:p w14:paraId="04489433" w14:textId="7B7F6D57" w:rsidR="00DC5856" w:rsidRDefault="00DC5856" w:rsidP="00E817C3">
      <w:pPr>
        <w:ind w:left="720"/>
        <w:rPr>
          <w:rFonts w:cs="Arial"/>
          <w:snapToGrid/>
          <w:szCs w:val="24"/>
        </w:rPr>
      </w:pPr>
      <w:r>
        <w:t xml:space="preserve">Article </w:t>
      </w:r>
      <w:r>
        <w:rPr>
          <w:rFonts w:cs="Arial"/>
          <w:snapToGrid/>
          <w:szCs w:val="24"/>
        </w:rPr>
        <w:t>724 Class 1 Power-Limited Circuits and Class 1 Power-Limited Remote-Control and Signaling Circuits</w:t>
      </w:r>
    </w:p>
    <w:p w14:paraId="4D257998" w14:textId="4E13BFCA" w:rsidR="00DC5856" w:rsidRDefault="00DC5856" w:rsidP="00E817C3">
      <w:pPr>
        <w:ind w:firstLine="720"/>
        <w:rPr>
          <w:rFonts w:cs="Arial"/>
          <w:snapToGrid/>
          <w:szCs w:val="24"/>
        </w:rPr>
      </w:pPr>
      <w:r>
        <w:t xml:space="preserve">Article </w:t>
      </w:r>
      <w:r>
        <w:rPr>
          <w:rFonts w:cs="Arial"/>
          <w:snapToGrid/>
          <w:szCs w:val="24"/>
        </w:rPr>
        <w:t>725</w:t>
      </w:r>
      <w:r w:rsidR="00E817C3">
        <w:rPr>
          <w:rFonts w:cs="Arial"/>
          <w:snapToGrid/>
          <w:szCs w:val="24"/>
        </w:rPr>
        <w:t xml:space="preserve"> Class 2 and 3 Power-Limited Circuits</w:t>
      </w:r>
    </w:p>
    <w:p w14:paraId="2EDD5FA2" w14:textId="41E1D273" w:rsidR="00DC5856" w:rsidRDefault="00DC5856" w:rsidP="00E817C3">
      <w:pPr>
        <w:ind w:firstLine="720"/>
        <w:rPr>
          <w:rFonts w:cs="Arial"/>
          <w:snapToGrid/>
          <w:szCs w:val="24"/>
        </w:rPr>
      </w:pPr>
      <w:r>
        <w:lastRenderedPageBreak/>
        <w:t xml:space="preserve">Article </w:t>
      </w:r>
      <w:r>
        <w:rPr>
          <w:rFonts w:cs="Arial"/>
          <w:snapToGrid/>
          <w:szCs w:val="24"/>
        </w:rPr>
        <w:t>726</w:t>
      </w:r>
      <w:r w:rsidR="00E817C3">
        <w:rPr>
          <w:rFonts w:cs="Arial"/>
          <w:snapToGrid/>
          <w:szCs w:val="24"/>
        </w:rPr>
        <w:t xml:space="preserve"> Class 4 Fault-Managed Power Systems</w:t>
      </w:r>
    </w:p>
    <w:p w14:paraId="2E54F053" w14:textId="049741D1" w:rsidR="00DC5856" w:rsidRDefault="00DC5856" w:rsidP="00E817C3">
      <w:pPr>
        <w:ind w:firstLine="720"/>
        <w:rPr>
          <w:rFonts w:cs="Arial"/>
          <w:snapToGrid/>
          <w:szCs w:val="24"/>
        </w:rPr>
      </w:pPr>
      <w:r>
        <w:t xml:space="preserve">Article </w:t>
      </w:r>
      <w:r>
        <w:rPr>
          <w:rFonts w:cs="Arial"/>
          <w:snapToGrid/>
          <w:szCs w:val="24"/>
        </w:rPr>
        <w:t>728</w:t>
      </w:r>
      <w:r w:rsidR="00E817C3">
        <w:rPr>
          <w:rFonts w:cs="Arial"/>
          <w:snapToGrid/>
          <w:szCs w:val="24"/>
        </w:rPr>
        <w:t xml:space="preserve"> Fire-Resistive Cable Systems</w:t>
      </w:r>
    </w:p>
    <w:p w14:paraId="1963E70E" w14:textId="7962BA09" w:rsidR="00DC5856" w:rsidRDefault="00DC5856" w:rsidP="00E817C3">
      <w:pPr>
        <w:ind w:firstLine="720"/>
        <w:rPr>
          <w:rFonts w:cs="Arial"/>
          <w:snapToGrid/>
          <w:szCs w:val="24"/>
        </w:rPr>
      </w:pPr>
      <w:r>
        <w:t xml:space="preserve">Article </w:t>
      </w:r>
      <w:r>
        <w:rPr>
          <w:rFonts w:cs="Arial"/>
          <w:snapToGrid/>
          <w:szCs w:val="24"/>
        </w:rPr>
        <w:t>750</w:t>
      </w:r>
      <w:r w:rsidR="00E817C3">
        <w:rPr>
          <w:rFonts w:cs="Arial"/>
          <w:snapToGrid/>
          <w:szCs w:val="24"/>
        </w:rPr>
        <w:t xml:space="preserve"> Energy Management Systems</w:t>
      </w:r>
    </w:p>
    <w:p w14:paraId="0D4C8997" w14:textId="46B43229" w:rsidR="00DC5856" w:rsidRDefault="00DC5856" w:rsidP="00E817C3">
      <w:pPr>
        <w:ind w:firstLine="720"/>
        <w:rPr>
          <w:rFonts w:cs="Arial"/>
          <w:snapToGrid/>
          <w:szCs w:val="24"/>
        </w:rPr>
      </w:pPr>
      <w:r>
        <w:t xml:space="preserve">Article </w:t>
      </w:r>
      <w:r>
        <w:rPr>
          <w:rFonts w:cs="Arial"/>
          <w:snapToGrid/>
          <w:szCs w:val="24"/>
        </w:rPr>
        <w:t>760</w:t>
      </w:r>
      <w:r w:rsidR="00E817C3">
        <w:rPr>
          <w:rFonts w:cs="Arial"/>
          <w:snapToGrid/>
          <w:szCs w:val="24"/>
        </w:rPr>
        <w:t xml:space="preserve"> Fire Alarm Systems</w:t>
      </w:r>
    </w:p>
    <w:p w14:paraId="14CD3372" w14:textId="7C0E5A3D" w:rsidR="00DC5856" w:rsidRDefault="00DC5856" w:rsidP="00E817C3">
      <w:pPr>
        <w:ind w:firstLine="720"/>
        <w:rPr>
          <w:rFonts w:cs="Arial"/>
          <w:snapToGrid/>
          <w:szCs w:val="24"/>
        </w:rPr>
      </w:pPr>
      <w:r>
        <w:t xml:space="preserve">Article </w:t>
      </w:r>
      <w:r>
        <w:rPr>
          <w:rFonts w:cs="Arial"/>
          <w:snapToGrid/>
          <w:szCs w:val="24"/>
        </w:rPr>
        <w:t>770</w:t>
      </w:r>
      <w:r w:rsidR="00E817C3">
        <w:rPr>
          <w:rFonts w:cs="Arial"/>
          <w:snapToGrid/>
          <w:szCs w:val="24"/>
        </w:rPr>
        <w:t xml:space="preserve"> Optical Fiber Cables</w:t>
      </w:r>
    </w:p>
    <w:p w14:paraId="6DDF7A01" w14:textId="21A0D0BB" w:rsidR="00A10BA7" w:rsidRPr="0075081F" w:rsidRDefault="00A10BA7" w:rsidP="00777462">
      <w:pPr>
        <w:pStyle w:val="Heading4"/>
      </w:pPr>
      <w:r w:rsidRPr="00DF6625">
        <w:t xml:space="preserve">ITEM </w:t>
      </w:r>
      <w:r>
        <w:rPr>
          <w:noProof/>
        </w:rPr>
        <w:t>9-</w:t>
      </w:r>
      <w:r w:rsidR="0075081F">
        <w:rPr>
          <w:noProof/>
        </w:rPr>
        <w:t>1</w:t>
      </w:r>
      <w:r w:rsidRPr="0046521A">
        <w:rPr>
          <w:snapToGrid/>
        </w:rPr>
        <w:br/>
      </w:r>
      <w:bookmarkStart w:id="27" w:name="_Hlk155947767"/>
      <w:r w:rsidRPr="0075081F">
        <w:t>Article 700 Emergency Systems</w:t>
      </w:r>
      <w:r w:rsidR="00A978D0">
        <w:t>, section 700.12 Gener</w:t>
      </w:r>
      <w:r w:rsidR="00576B69">
        <w:t>al Requirements</w:t>
      </w:r>
    </w:p>
    <w:p w14:paraId="4A731FA6" w14:textId="77777777" w:rsidR="00576B69" w:rsidRDefault="00A10BA7" w:rsidP="00576B69">
      <w:pPr>
        <w:widowControl/>
        <w:spacing w:line="259" w:lineRule="auto"/>
        <w:ind w:left="360"/>
        <w:rPr>
          <w:rFonts w:eastAsia="Calibri" w:cs="Arial"/>
          <w:snapToGrid/>
          <w:szCs w:val="24"/>
        </w:rPr>
      </w:pPr>
      <w:r w:rsidRPr="0075081F">
        <w:rPr>
          <w:rFonts w:cs="Arial"/>
          <w:snapToGrid/>
          <w:szCs w:val="24"/>
        </w:rPr>
        <w:t>[</w:t>
      </w:r>
      <w:bookmarkStart w:id="28" w:name="_Hlk157534719"/>
      <w:bookmarkEnd w:id="24"/>
      <w:r w:rsidR="00D07F36" w:rsidRPr="0075081F">
        <w:rPr>
          <w:rFonts w:eastAsia="Calibri" w:cs="Arial"/>
          <w:snapToGrid/>
          <w:szCs w:val="24"/>
        </w:rPr>
        <w:t>The SFM is proposing to adopt Article 700 and repeal the following amendments in Section 700.12.</w:t>
      </w:r>
      <w:r w:rsidR="00DF30F6">
        <w:rPr>
          <w:rFonts w:eastAsia="Calibri" w:cs="Arial"/>
          <w:snapToGrid/>
          <w:szCs w:val="24"/>
        </w:rPr>
        <w:t xml:space="preserve"> </w:t>
      </w:r>
      <w:r w:rsidR="003E487C" w:rsidRPr="003E487C">
        <w:rPr>
          <w:rFonts w:eastAsia="Calibri" w:cs="Arial"/>
          <w:snapToGrid/>
          <w:szCs w:val="24"/>
        </w:rPr>
        <w:t>to coordinate regulation with OSHPD</w:t>
      </w:r>
      <w:bookmarkEnd w:id="28"/>
      <w:r w:rsidR="003E487C" w:rsidRPr="003E487C">
        <w:rPr>
          <w:rFonts w:eastAsia="Calibri" w:cs="Arial"/>
          <w:snapToGrid/>
          <w:szCs w:val="24"/>
        </w:rPr>
        <w:t>.</w:t>
      </w:r>
      <w:r w:rsidR="00576B69">
        <w:rPr>
          <w:rFonts w:eastAsia="Calibri" w:cs="Arial"/>
          <w:snapToGrid/>
          <w:szCs w:val="24"/>
        </w:rPr>
        <w:t xml:space="preserve"> </w:t>
      </w:r>
    </w:p>
    <w:p w14:paraId="6B94ECCD" w14:textId="68951952" w:rsidR="00576B69" w:rsidRPr="007357E5" w:rsidRDefault="00576B69" w:rsidP="00576B69">
      <w:pPr>
        <w:widowControl/>
        <w:spacing w:line="259" w:lineRule="auto"/>
        <w:ind w:firstLine="360"/>
        <w:rPr>
          <w:rFonts w:eastAsia="Calibri" w:cs="Arial"/>
          <w:b/>
          <w:bCs/>
          <w:snapToGrid/>
          <w:szCs w:val="24"/>
        </w:rPr>
      </w:pPr>
      <w:r w:rsidRPr="007357E5">
        <w:rPr>
          <w:rFonts w:eastAsia="Calibri" w:cs="Arial"/>
          <w:b/>
          <w:bCs/>
          <w:snapToGrid/>
          <w:szCs w:val="24"/>
        </w:rPr>
        <w:t>Associated Sections: 517.31(H), 517.42(G) and 517.45(H)</w:t>
      </w:r>
      <w:r>
        <w:rPr>
          <w:rFonts w:eastAsia="Calibri" w:cs="Arial"/>
          <w:b/>
          <w:bCs/>
          <w:snapToGrid/>
          <w:szCs w:val="24"/>
        </w:rPr>
        <w:t xml:space="preserve"> </w:t>
      </w:r>
      <w:bookmarkStart w:id="29" w:name="_Hlk164117470"/>
      <w:r>
        <w:rPr>
          <w:rFonts w:eastAsia="Calibri" w:cs="Arial"/>
          <w:b/>
          <w:bCs/>
          <w:snapToGrid/>
          <w:szCs w:val="24"/>
        </w:rPr>
        <w:t>in Item 7-1</w:t>
      </w:r>
      <w:bookmarkEnd w:id="29"/>
    </w:p>
    <w:p w14:paraId="1DEB7A47" w14:textId="563B0446" w:rsidR="00CF1C3C" w:rsidRPr="00576B69" w:rsidRDefault="00576B69" w:rsidP="00576B69">
      <w:pPr>
        <w:widowControl/>
        <w:spacing w:line="259" w:lineRule="auto"/>
        <w:ind w:firstLine="360"/>
        <w:rPr>
          <w:rFonts w:eastAsia="Calibri" w:cs="Arial"/>
          <w:b/>
          <w:bCs/>
          <w:snapToGrid/>
          <w:szCs w:val="24"/>
        </w:rPr>
      </w:pPr>
      <w:r w:rsidRPr="007357E5">
        <w:rPr>
          <w:rFonts w:eastAsia="Calibri" w:cs="Arial"/>
          <w:b/>
          <w:bCs/>
          <w:snapToGrid/>
          <w:szCs w:val="24"/>
        </w:rPr>
        <w:t>Associated Sections: 517.31(H), 517.42(G)</w:t>
      </w:r>
      <w:bookmarkEnd w:id="27"/>
      <w:r>
        <w:rPr>
          <w:rFonts w:eastAsia="Calibri" w:cs="Arial"/>
          <w:b/>
          <w:bCs/>
          <w:snapToGrid/>
          <w:szCs w:val="24"/>
        </w:rPr>
        <w:t xml:space="preserve"> in Item 7-1</w:t>
      </w:r>
    </w:p>
    <w:p w14:paraId="465BEE19" w14:textId="311FCC78" w:rsidR="00CC0732" w:rsidRPr="0087728E" w:rsidRDefault="00CC0732" w:rsidP="00A978D0">
      <w:pPr>
        <w:ind w:firstLine="360"/>
        <w:rPr>
          <w:rFonts w:eastAsia="Calibri" w:cs="Arial"/>
          <w:snapToGrid/>
          <w:szCs w:val="24"/>
        </w:rPr>
      </w:pPr>
      <w:bookmarkStart w:id="30" w:name="_Hlk139450465"/>
      <w:r w:rsidRPr="0087728E">
        <w:rPr>
          <w:rFonts w:eastAsia="Calibri" w:cs="Arial"/>
          <w:b/>
          <w:bCs/>
          <w:snapToGrid/>
          <w:szCs w:val="24"/>
        </w:rPr>
        <w:t>700.12 General Requirements.</w:t>
      </w:r>
      <w:bookmarkEnd w:id="30"/>
    </w:p>
    <w:p w14:paraId="4FCA087A" w14:textId="77777777" w:rsidR="00CC0732" w:rsidRPr="0087728E" w:rsidRDefault="00CC0732" w:rsidP="00A978D0">
      <w:pPr>
        <w:ind w:firstLine="720"/>
        <w:rPr>
          <w:rFonts w:eastAsia="Calibri" w:cs="Arial"/>
          <w:snapToGrid/>
          <w:szCs w:val="24"/>
        </w:rPr>
      </w:pPr>
      <w:r w:rsidRPr="0087728E">
        <w:rPr>
          <w:rFonts w:eastAsia="Calibri" w:cs="Arial"/>
          <w:snapToGrid/>
          <w:szCs w:val="24"/>
        </w:rPr>
        <w:t>…</w:t>
      </w:r>
    </w:p>
    <w:p w14:paraId="49C317A3" w14:textId="77777777" w:rsidR="00CC0732" w:rsidRPr="0087728E" w:rsidRDefault="00CC0732" w:rsidP="00CC0732">
      <w:pPr>
        <w:widowControl/>
        <w:autoSpaceDE w:val="0"/>
        <w:autoSpaceDN w:val="0"/>
        <w:adjustRightInd w:val="0"/>
        <w:ind w:left="720" w:firstLine="720"/>
        <w:rPr>
          <w:rFonts w:cs="Arial"/>
          <w:b/>
          <w:bCs/>
          <w:snapToGrid/>
          <w:szCs w:val="24"/>
        </w:rPr>
      </w:pPr>
      <w:r w:rsidRPr="0087728E">
        <w:rPr>
          <w:rFonts w:cs="Arial"/>
          <w:b/>
          <w:bCs/>
          <w:snapToGrid/>
          <w:szCs w:val="24"/>
        </w:rPr>
        <w:t>(D) Generator Set.</w:t>
      </w:r>
    </w:p>
    <w:p w14:paraId="5C6E9B89" w14:textId="77777777" w:rsidR="00CC0732" w:rsidRPr="0087728E" w:rsidRDefault="00CC0732" w:rsidP="00CC0732">
      <w:pPr>
        <w:widowControl/>
        <w:autoSpaceDE w:val="0"/>
        <w:autoSpaceDN w:val="0"/>
        <w:adjustRightInd w:val="0"/>
        <w:ind w:left="1440" w:firstLine="720"/>
        <w:rPr>
          <w:rFonts w:eastAsia="TimesLTStd-Roman" w:cs="Arial"/>
          <w:snapToGrid/>
          <w:szCs w:val="24"/>
        </w:rPr>
      </w:pPr>
      <w:r w:rsidRPr="0087728E">
        <w:rPr>
          <w:rFonts w:cs="Arial"/>
          <w:b/>
          <w:bCs/>
          <w:snapToGrid/>
          <w:szCs w:val="24"/>
        </w:rPr>
        <w:t>(1) Prime Mover-Driven.</w:t>
      </w:r>
      <w:r w:rsidRPr="0087728E">
        <w:rPr>
          <w:rFonts w:cs="Arial"/>
          <w:snapToGrid/>
          <w:szCs w:val="24"/>
        </w:rPr>
        <w:t xml:space="preserve"> ...</w:t>
      </w:r>
    </w:p>
    <w:p w14:paraId="1A51BB7A" w14:textId="77777777" w:rsidR="00CC0732" w:rsidRPr="0087728E" w:rsidRDefault="00CC0732" w:rsidP="00CC0732">
      <w:pPr>
        <w:widowControl/>
        <w:autoSpaceDE w:val="0"/>
        <w:autoSpaceDN w:val="0"/>
        <w:adjustRightInd w:val="0"/>
        <w:ind w:left="1440" w:firstLine="720"/>
        <w:rPr>
          <w:rFonts w:cs="Arial"/>
          <w:b/>
          <w:bCs/>
          <w:snapToGrid/>
          <w:szCs w:val="24"/>
        </w:rPr>
      </w:pPr>
      <w:r w:rsidRPr="0087728E">
        <w:rPr>
          <w:rFonts w:cs="Arial"/>
          <w:b/>
          <w:bCs/>
          <w:snapToGrid/>
          <w:szCs w:val="24"/>
        </w:rPr>
        <w:t>(2) Internal Combustion Engines as Prime Movers.</w:t>
      </w:r>
    </w:p>
    <w:p w14:paraId="4C91EF97" w14:textId="77777777" w:rsidR="00CC0732" w:rsidRDefault="00CC0732" w:rsidP="00CC0732">
      <w:pPr>
        <w:widowControl/>
        <w:autoSpaceDE w:val="0"/>
        <w:autoSpaceDN w:val="0"/>
        <w:adjustRightInd w:val="0"/>
        <w:ind w:left="2160"/>
        <w:rPr>
          <w:rFonts w:eastAsia="TimesLTStd-Roman" w:cs="Arial"/>
          <w:snapToGrid/>
          <w:szCs w:val="24"/>
        </w:rPr>
      </w:pPr>
      <w:r w:rsidRPr="0087728E">
        <w:rPr>
          <w:rFonts w:eastAsia="TimesLTStd-Roman" w:cs="Arial"/>
          <w:snapToGrid/>
          <w:szCs w:val="24"/>
        </w:rPr>
        <w:t xml:space="preserve">(a) </w:t>
      </w:r>
      <w:r w:rsidRPr="0087728E">
        <w:rPr>
          <w:rFonts w:eastAsia="TimesLTStd-Italic" w:cs="Arial"/>
          <w:i/>
          <w:iCs/>
          <w:snapToGrid/>
          <w:szCs w:val="24"/>
        </w:rPr>
        <w:t xml:space="preserve">On-Site Fuel Supply. </w:t>
      </w:r>
      <w:r w:rsidRPr="0087728E">
        <w:rPr>
          <w:rFonts w:eastAsia="TimesLTStd-Roman" w:cs="Arial"/>
          <w:snapToGrid/>
          <w:szCs w:val="24"/>
        </w:rPr>
        <w:t>Where internal combustion engines are used as the prime mover, an on-site fuel supply shall be provided with an on-premises fuel supply sufficient for not less than 2 hours’ operation of the system.</w:t>
      </w:r>
    </w:p>
    <w:p w14:paraId="15A15D82" w14:textId="77777777" w:rsidR="00CC0732" w:rsidRPr="00825497" w:rsidRDefault="00CC0732" w:rsidP="00CC0732">
      <w:pPr>
        <w:widowControl/>
        <w:autoSpaceDE w:val="0"/>
        <w:autoSpaceDN w:val="0"/>
        <w:adjustRightInd w:val="0"/>
        <w:ind w:left="1440" w:firstLine="720"/>
        <w:rPr>
          <w:rFonts w:eastAsia="TimesLTStd-Italic" w:cs="Arial"/>
          <w:i/>
          <w:iCs/>
          <w:strike/>
          <w:snapToGrid/>
          <w:szCs w:val="24"/>
        </w:rPr>
      </w:pPr>
      <w:r w:rsidRPr="00825497">
        <w:rPr>
          <w:rFonts w:eastAsia="TimesLTStd-Italic" w:cs="Arial"/>
          <w:i/>
          <w:iCs/>
          <w:strike/>
          <w:snapToGrid/>
          <w:szCs w:val="24"/>
        </w:rPr>
        <w:t>Exceptions [SFM, OSHPD 1, 2, 3, 4 &amp; 5]</w:t>
      </w:r>
    </w:p>
    <w:p w14:paraId="6A8CFC0C" w14:textId="77777777" w:rsidR="00CC0732" w:rsidRPr="00825497" w:rsidRDefault="00CC0732" w:rsidP="00CC073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Exception No.1: [SFM, OSHPD 1, 2, 3, 4 &amp; 5] The on-premises fuel supply shall be sufficient for not less than 24 hours full-demand operation in acute general care hospitals and correctional</w:t>
      </w:r>
      <w:r>
        <w:rPr>
          <w:rFonts w:eastAsia="TimesLTStd-Italic" w:cs="Arial"/>
          <w:i/>
          <w:iCs/>
          <w:strike/>
          <w:snapToGrid/>
          <w:szCs w:val="24"/>
        </w:rPr>
        <w:t xml:space="preserve"> </w:t>
      </w:r>
      <w:r w:rsidRPr="00825497">
        <w:rPr>
          <w:rFonts w:eastAsia="TimesLTStd-Italic" w:cs="Arial"/>
          <w:i/>
          <w:iCs/>
          <w:strike/>
          <w:snapToGrid/>
          <w:szCs w:val="24"/>
        </w:rPr>
        <w:t xml:space="preserve">treatment centers that provide optional services. For acute care hospital facilities required to meet NPC-5, the </w:t>
      </w:r>
      <w:proofErr w:type="gramStart"/>
      <w:r w:rsidRPr="00825497">
        <w:rPr>
          <w:rFonts w:eastAsia="TimesLTStd-Italic" w:cs="Arial"/>
          <w:i/>
          <w:iCs/>
          <w:strike/>
          <w:snapToGrid/>
          <w:szCs w:val="24"/>
        </w:rPr>
        <w:t>on-premise</w:t>
      </w:r>
      <w:proofErr w:type="gramEnd"/>
      <w:r w:rsidRPr="00825497">
        <w:rPr>
          <w:rFonts w:eastAsia="TimesLTStd-Italic" w:cs="Arial"/>
          <w:i/>
          <w:iCs/>
          <w:strike/>
          <w:snapToGrid/>
          <w:szCs w:val="24"/>
        </w:rPr>
        <w:t xml:space="preserve"> fuel supply shall be sufficient for no less than 72 hours full-demand operations.</w:t>
      </w:r>
    </w:p>
    <w:p w14:paraId="3DAE3E90" w14:textId="77777777" w:rsidR="00CC0732" w:rsidRPr="00825497" w:rsidRDefault="00CC0732" w:rsidP="00CC073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Exception No. 2: [SFM, OSHPD 1, 2, 3, 4 &amp; 5] The on-premises fuel supply shall be sufficient for not less than 6 hours full-demand operation in the following health facilities of seven or more</w:t>
      </w:r>
      <w:r>
        <w:rPr>
          <w:rFonts w:eastAsia="TimesLTStd-Italic" w:cs="Arial"/>
          <w:i/>
          <w:iCs/>
          <w:strike/>
          <w:snapToGrid/>
          <w:szCs w:val="24"/>
        </w:rPr>
        <w:t xml:space="preserve"> </w:t>
      </w:r>
      <w:r w:rsidRPr="00825497">
        <w:rPr>
          <w:rFonts w:eastAsia="TimesLTStd-Italic" w:cs="Arial"/>
          <w:i/>
          <w:iCs/>
          <w:strike/>
          <w:snapToGrid/>
          <w:szCs w:val="24"/>
        </w:rPr>
        <w:t>beds: correctional treatment centers that provide only basic services, acute psychiatric hospitals, intermediate care facilities, and skilled nursing facilities.</w:t>
      </w:r>
    </w:p>
    <w:p w14:paraId="097B7FD9" w14:textId="71ADE633" w:rsidR="000D78F2" w:rsidRPr="001613B2" w:rsidRDefault="00CC0732" w:rsidP="001613B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 xml:space="preserve">Exception No. 3: [SFM, OSHPD 1, 2, 3, 4 &amp; 5] The on-premises fuel supply shall be sufficient for not less than 4 hours full-demand operation in ambulatory surgical clinics. </w:t>
      </w:r>
    </w:p>
    <w:p w14:paraId="582C42EA" w14:textId="690EAF35" w:rsidR="00847B60" w:rsidRDefault="00847B60" w:rsidP="00777462">
      <w:pPr>
        <w:pStyle w:val="Heading4"/>
      </w:pPr>
      <w:bookmarkStart w:id="31" w:name="_Hlk150263646"/>
      <w:r w:rsidRPr="00DF6625">
        <w:lastRenderedPageBreak/>
        <w:t xml:space="preserve">ITEM </w:t>
      </w:r>
      <w:r>
        <w:rPr>
          <w:noProof/>
        </w:rPr>
        <w:t>9-</w:t>
      </w:r>
      <w:r w:rsidR="0075081F">
        <w:rPr>
          <w:noProof/>
        </w:rPr>
        <w:t>2</w:t>
      </w:r>
      <w:r w:rsidRPr="0046521A">
        <w:rPr>
          <w:snapToGrid/>
        </w:rPr>
        <w:br/>
      </w:r>
      <w:r w:rsidRPr="00430138">
        <w:t xml:space="preserve">Article </w:t>
      </w:r>
      <w:r>
        <w:t>760 Fire Alarm Systems</w:t>
      </w:r>
      <w:r w:rsidR="00A53610">
        <w:t>.</w:t>
      </w:r>
      <w:r w:rsidRPr="00430138">
        <w:t xml:space="preserve"> </w:t>
      </w:r>
    </w:p>
    <w:p w14:paraId="1B6FCCD4" w14:textId="2132239A" w:rsidR="005518D8" w:rsidRDefault="00847B60" w:rsidP="00495ABE">
      <w:pPr>
        <w:ind w:left="360"/>
        <w:rPr>
          <w:rFonts w:cs="Arial"/>
          <w:snapToGrid/>
          <w:szCs w:val="24"/>
        </w:rPr>
      </w:pPr>
      <w:r>
        <w:rPr>
          <w:rFonts w:cs="Arial"/>
          <w:snapToGrid/>
          <w:szCs w:val="24"/>
        </w:rPr>
        <w:t>[</w:t>
      </w:r>
      <w:r w:rsidR="0091418F" w:rsidRPr="002F436A">
        <w:rPr>
          <w:rFonts w:cs="Arial"/>
          <w:snapToGrid/>
          <w:szCs w:val="24"/>
        </w:rPr>
        <w:t>The SFM is proposing to maintain the existing SFM amendment of Sections 760.1</w:t>
      </w:r>
      <w:r w:rsidR="00A53610">
        <w:rPr>
          <w:rFonts w:cs="Arial"/>
          <w:snapToGrid/>
          <w:szCs w:val="24"/>
        </w:rPr>
        <w:t xml:space="preserve"> through</w:t>
      </w:r>
      <w:r w:rsidR="0091418F">
        <w:rPr>
          <w:rFonts w:cs="Arial"/>
          <w:snapToGrid/>
          <w:szCs w:val="24"/>
        </w:rPr>
        <w:t xml:space="preserve"> 760.176(F) with the following modifications shown below.]</w:t>
      </w:r>
      <w:bookmarkEnd w:id="31"/>
    </w:p>
    <w:p w14:paraId="357D5F34" w14:textId="77777777" w:rsidR="00847B60" w:rsidRPr="00847B60" w:rsidRDefault="00847B60" w:rsidP="00847B60">
      <w:pPr>
        <w:ind w:left="720"/>
        <w:rPr>
          <w:rFonts w:cs="Arial"/>
          <w:b/>
          <w:bCs/>
          <w:snapToGrid/>
          <w:szCs w:val="24"/>
        </w:rPr>
      </w:pPr>
      <w:r>
        <w:rPr>
          <w:rFonts w:cs="Arial"/>
          <w:snapToGrid/>
          <w:szCs w:val="24"/>
        </w:rPr>
        <w:tab/>
      </w:r>
      <w:r w:rsidRPr="00847B60">
        <w:rPr>
          <w:rFonts w:cs="Arial"/>
          <w:b/>
          <w:bCs/>
          <w:snapToGrid/>
          <w:szCs w:val="24"/>
        </w:rPr>
        <w:t>760.1.1 Equipment and Systems</w:t>
      </w:r>
    </w:p>
    <w:p w14:paraId="50DE7DDA" w14:textId="78CB0158" w:rsidR="00847B60" w:rsidRDefault="00847B60" w:rsidP="00847B60">
      <w:pPr>
        <w:ind w:left="1440"/>
        <w:rPr>
          <w:rFonts w:cs="Arial"/>
          <w:i/>
          <w:iCs/>
          <w:snapToGrid/>
          <w:szCs w:val="24"/>
        </w:rPr>
      </w:pPr>
      <w:r w:rsidRPr="00847B60">
        <w:rPr>
          <w:rFonts w:cs="Arial"/>
          <w:i/>
          <w:iCs/>
          <w:snapToGrid/>
          <w:szCs w:val="24"/>
        </w:rPr>
        <w:t>[SFM] Fire alarm equipment and systems required to be installed in any occupancy within the scope of these regulations shall conform to the applicable performance and construction standards specified in NFPA 72-</w:t>
      </w:r>
      <w:r w:rsidRPr="00847B60">
        <w:rPr>
          <w:rFonts w:cs="Arial"/>
          <w:i/>
          <w:iCs/>
          <w:strike/>
          <w:snapToGrid/>
          <w:szCs w:val="24"/>
        </w:rPr>
        <w:t>2016</w:t>
      </w:r>
      <w:r w:rsidRPr="00847B60">
        <w:rPr>
          <w:rFonts w:cs="Arial"/>
          <w:i/>
          <w:iCs/>
          <w:snapToGrid/>
          <w:szCs w:val="24"/>
        </w:rPr>
        <w:t xml:space="preserve"> </w:t>
      </w:r>
      <w:r w:rsidRPr="00847B60">
        <w:rPr>
          <w:rFonts w:cs="Arial"/>
          <w:i/>
          <w:iCs/>
          <w:snapToGrid/>
          <w:szCs w:val="24"/>
          <w:u w:val="single"/>
        </w:rPr>
        <w:t>202</w:t>
      </w:r>
      <w:r w:rsidR="0075455E">
        <w:rPr>
          <w:rFonts w:cs="Arial"/>
          <w:i/>
          <w:iCs/>
          <w:snapToGrid/>
          <w:szCs w:val="24"/>
          <w:u w:val="single"/>
        </w:rPr>
        <w:t>5</w:t>
      </w:r>
      <w:r w:rsidRPr="00847B60">
        <w:rPr>
          <w:rFonts w:cs="Arial"/>
          <w:i/>
          <w:iCs/>
          <w:snapToGrid/>
          <w:szCs w:val="24"/>
        </w:rPr>
        <w:t>.</w:t>
      </w:r>
    </w:p>
    <w:p w14:paraId="3752C0E0" w14:textId="3C10D307" w:rsidR="00974F97" w:rsidRPr="001613B2" w:rsidRDefault="00725420" w:rsidP="001613B2">
      <w:pPr>
        <w:ind w:left="1440"/>
        <w:rPr>
          <w:rFonts w:cs="Arial"/>
          <w:i/>
          <w:iCs/>
          <w:snapToGrid/>
          <w:szCs w:val="24"/>
        </w:rPr>
      </w:pPr>
      <w:r>
        <w:rPr>
          <w:rFonts w:cs="Arial"/>
          <w:i/>
          <w:iCs/>
          <w:snapToGrid/>
          <w:szCs w:val="24"/>
        </w:rPr>
        <w:t>…</w:t>
      </w:r>
    </w:p>
    <w:p w14:paraId="4D1773C6" w14:textId="77777777" w:rsidR="008E558A" w:rsidRPr="0046521A" w:rsidRDefault="008E558A" w:rsidP="008E558A">
      <w:pPr>
        <w:pStyle w:val="Heading4"/>
        <w:spacing w:before="0"/>
        <w:ind w:left="0"/>
      </w:pPr>
      <w:r w:rsidRPr="0046521A">
        <w:t xml:space="preserve">Notation: </w:t>
      </w:r>
    </w:p>
    <w:p w14:paraId="418AEF69"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7E18EA" w14:textId="7E44F870" w:rsidR="00E817C3" w:rsidRPr="001613B2" w:rsidRDefault="00513033" w:rsidP="00974F97">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6BD992C" w14:textId="07250137" w:rsidR="00974F97" w:rsidRPr="00F03FB5" w:rsidRDefault="001334A0" w:rsidP="00F03FB5">
      <w:pPr>
        <w:pStyle w:val="Heading3"/>
      </w:pPr>
      <w:bookmarkStart w:id="32" w:name="_Hlk150263695"/>
      <w:r w:rsidRPr="00F03FB5">
        <w:t>ITEM</w:t>
      </w:r>
      <w:r w:rsidR="00974F97" w:rsidRPr="00F03FB5">
        <w:t xml:space="preserve"> 10</w:t>
      </w:r>
      <w:r w:rsidR="00974F97" w:rsidRPr="00F03FB5">
        <w:br/>
        <w:t>Chapter 8 Communication Systems</w:t>
      </w:r>
    </w:p>
    <w:p w14:paraId="62AA1400" w14:textId="78F9FB09" w:rsidR="00974F97" w:rsidRDefault="00974F97" w:rsidP="00974F97">
      <w:pPr>
        <w:rPr>
          <w:rFonts w:cs="Arial"/>
          <w:snapToGrid/>
          <w:szCs w:val="24"/>
        </w:rPr>
      </w:pPr>
      <w:r w:rsidRPr="005A7F73">
        <w:rPr>
          <w:rFonts w:cs="Arial"/>
          <w:snapToGrid/>
          <w:szCs w:val="24"/>
        </w:rPr>
        <w:t xml:space="preserve">[The SFM is proposing the adoption of </w:t>
      </w:r>
      <w:r w:rsidR="000927A5">
        <w:rPr>
          <w:rFonts w:cs="Arial"/>
          <w:snapToGrid/>
          <w:szCs w:val="24"/>
        </w:rPr>
        <w:t>the following</w:t>
      </w:r>
      <w:r w:rsidRPr="005A7F73">
        <w:rPr>
          <w:rFonts w:cs="Arial"/>
          <w:snapToGrid/>
          <w:szCs w:val="24"/>
        </w:rPr>
        <w:t xml:space="preserve"> Article</w:t>
      </w:r>
      <w:r w:rsidR="00BF1B38">
        <w:rPr>
          <w:rFonts w:cs="Arial"/>
          <w:snapToGrid/>
          <w:szCs w:val="24"/>
        </w:rPr>
        <w:t>s</w:t>
      </w:r>
      <w:r w:rsidRPr="005A7F73">
        <w:rPr>
          <w:rFonts w:cs="Arial"/>
          <w:snapToGrid/>
          <w:szCs w:val="24"/>
        </w:rPr>
        <w:t xml:space="preserve"> </w:t>
      </w:r>
      <w:r w:rsidR="005A7F73" w:rsidRPr="005A7F73">
        <w:rPr>
          <w:rFonts w:cs="Arial"/>
          <w:snapToGrid/>
          <w:szCs w:val="24"/>
        </w:rPr>
        <w:t>without amendment.</w:t>
      </w:r>
      <w:r w:rsidRPr="005A7F73">
        <w:rPr>
          <w:rFonts w:cs="Arial"/>
          <w:snapToGrid/>
          <w:szCs w:val="24"/>
        </w:rPr>
        <w:t>]</w:t>
      </w:r>
    </w:p>
    <w:p w14:paraId="490EB22C" w14:textId="6047ABDA" w:rsidR="00E817C3" w:rsidRDefault="00E817C3" w:rsidP="00E817C3">
      <w:r>
        <w:tab/>
        <w:t>Article 800 General Requirements for Communications Systems</w:t>
      </w:r>
    </w:p>
    <w:p w14:paraId="5F6F1C18" w14:textId="6E7954E8" w:rsidR="00E817C3" w:rsidRDefault="00E817C3" w:rsidP="00E817C3">
      <w:pPr>
        <w:ind w:firstLine="720"/>
      </w:pPr>
      <w:r>
        <w:t>Article 805 Communications Circuits</w:t>
      </w:r>
    </w:p>
    <w:p w14:paraId="26B50837" w14:textId="415B849B" w:rsidR="00E817C3" w:rsidRDefault="00E817C3" w:rsidP="00E817C3">
      <w:pPr>
        <w:ind w:firstLine="720"/>
      </w:pPr>
      <w:r>
        <w:t>Article 810 Antenna Systems</w:t>
      </w:r>
    </w:p>
    <w:p w14:paraId="48D1DA50" w14:textId="602E59AE" w:rsidR="00E817C3" w:rsidRDefault="00E817C3" w:rsidP="00E817C3">
      <w:pPr>
        <w:ind w:firstLine="720"/>
      </w:pPr>
      <w:r>
        <w:t>Article 820 Community Antenna Television and Radio Distribution Systems</w:t>
      </w:r>
    </w:p>
    <w:p w14:paraId="37446E76" w14:textId="6465FCA2" w:rsidR="00E817C3" w:rsidRDefault="00E817C3" w:rsidP="00E817C3">
      <w:pPr>
        <w:ind w:firstLine="720"/>
      </w:pPr>
      <w:r>
        <w:t>Article 830 Network-Powered Broadband Communications Systems</w:t>
      </w:r>
    </w:p>
    <w:p w14:paraId="718AA219" w14:textId="36FBD8B9" w:rsidR="00E817C3" w:rsidRPr="00E817C3" w:rsidRDefault="00E817C3" w:rsidP="001613B2">
      <w:pPr>
        <w:ind w:firstLine="720"/>
      </w:pPr>
      <w:r>
        <w:t>Article 840</w:t>
      </w:r>
      <w:bookmarkEnd w:id="32"/>
      <w:r>
        <w:t xml:space="preserve"> Premises-Powered Broadband Communications Systems</w:t>
      </w:r>
    </w:p>
    <w:p w14:paraId="125E7767" w14:textId="77777777" w:rsidR="008E558A" w:rsidRPr="0046521A" w:rsidRDefault="008E558A" w:rsidP="008E558A">
      <w:pPr>
        <w:pStyle w:val="Heading4"/>
        <w:spacing w:before="0"/>
        <w:ind w:left="0"/>
      </w:pPr>
      <w:r w:rsidRPr="0046521A">
        <w:t xml:space="preserve">Notation: </w:t>
      </w:r>
    </w:p>
    <w:p w14:paraId="2ABC3E1C"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FEBAABE" w14:textId="76B60ABE" w:rsidR="005A7F73" w:rsidRPr="001613B2" w:rsidRDefault="00513033" w:rsidP="00794DF2">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0399706" w14:textId="067F938F" w:rsidR="005A7F73" w:rsidRPr="00F03FB5" w:rsidRDefault="001334A0" w:rsidP="00F03FB5">
      <w:pPr>
        <w:pStyle w:val="Heading3"/>
      </w:pPr>
      <w:bookmarkStart w:id="33" w:name="_Hlk150263840"/>
      <w:r w:rsidRPr="00F03FB5">
        <w:lastRenderedPageBreak/>
        <w:t>ITEM</w:t>
      </w:r>
      <w:r w:rsidR="005A7F73" w:rsidRPr="00F03FB5">
        <w:t xml:space="preserve"> 11</w:t>
      </w:r>
      <w:r w:rsidR="005A7F73" w:rsidRPr="00F03FB5">
        <w:br/>
        <w:t>Chapter 9 Tables</w:t>
      </w:r>
    </w:p>
    <w:p w14:paraId="0F64FC8E" w14:textId="1EA79C77" w:rsidR="005A7F73" w:rsidRPr="001613B2" w:rsidRDefault="005A7F73" w:rsidP="00794DF2">
      <w:pPr>
        <w:rPr>
          <w:rFonts w:cs="Arial"/>
          <w:snapToGrid/>
          <w:szCs w:val="24"/>
        </w:rPr>
      </w:pPr>
      <w:r w:rsidRPr="005A7F73">
        <w:rPr>
          <w:rFonts w:cs="Arial"/>
          <w:snapToGrid/>
          <w:szCs w:val="24"/>
        </w:rPr>
        <w:t xml:space="preserve">[The SFM is proposing the adoption </w:t>
      </w:r>
      <w:r w:rsidR="00576B69">
        <w:rPr>
          <w:rFonts w:cs="Arial"/>
          <w:snapToGrid/>
          <w:szCs w:val="24"/>
        </w:rPr>
        <w:t>of</w:t>
      </w:r>
      <w:r w:rsidRPr="005A7F73">
        <w:rPr>
          <w:rFonts w:cs="Arial"/>
          <w:snapToGrid/>
          <w:szCs w:val="24"/>
        </w:rPr>
        <w:t xml:space="preserve"> reference </w:t>
      </w:r>
      <w:r>
        <w:rPr>
          <w:rFonts w:cs="Arial"/>
          <w:snapToGrid/>
          <w:szCs w:val="24"/>
        </w:rPr>
        <w:t>Tables 1-13 without amendment</w:t>
      </w:r>
      <w:r w:rsidRPr="005A7F73">
        <w:rPr>
          <w:rFonts w:cs="Arial"/>
          <w:snapToGrid/>
          <w:szCs w:val="24"/>
        </w:rPr>
        <w:t>.]</w:t>
      </w:r>
    </w:p>
    <w:p w14:paraId="1281A332" w14:textId="77777777" w:rsidR="008E558A" w:rsidRPr="0046521A" w:rsidRDefault="008E558A" w:rsidP="008E558A">
      <w:pPr>
        <w:pStyle w:val="Heading4"/>
        <w:spacing w:before="0"/>
        <w:ind w:left="0"/>
      </w:pPr>
      <w:r w:rsidRPr="0046521A">
        <w:t xml:space="preserve">Notation: </w:t>
      </w:r>
    </w:p>
    <w:p w14:paraId="2752F8A4"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62B56910" w14:textId="31C56DE2" w:rsidR="005A7F73" w:rsidRPr="001613B2" w:rsidRDefault="00513033" w:rsidP="005A7F7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0C178674" w14:textId="524180DA" w:rsidR="005A7F73" w:rsidRDefault="001334A0" w:rsidP="00777462">
      <w:pPr>
        <w:pStyle w:val="Heading3"/>
      </w:pPr>
      <w:r>
        <w:t>ITEM</w:t>
      </w:r>
      <w:r w:rsidR="005A7F73" w:rsidRPr="00B077C7">
        <w:t xml:space="preserve"> </w:t>
      </w:r>
      <w:r w:rsidR="005A7F73">
        <w:rPr>
          <w:noProof/>
        </w:rPr>
        <w:t>12</w:t>
      </w:r>
      <w:r w:rsidR="005A7F73" w:rsidRPr="002F436A">
        <w:br/>
      </w:r>
      <w:r w:rsidR="005A7F73" w:rsidRPr="00B077C7">
        <w:t xml:space="preserve">Chapter </w:t>
      </w:r>
      <w:r w:rsidR="003B76D0">
        <w:t xml:space="preserve">9, Informative </w:t>
      </w:r>
      <w:r w:rsidR="005A7F73">
        <w:t>Annex</w:t>
      </w:r>
    </w:p>
    <w:p w14:paraId="7DFA72EA" w14:textId="54C48E82" w:rsidR="005A7F73" w:rsidRPr="001613B2" w:rsidRDefault="005A7F73" w:rsidP="005A7F73">
      <w:pPr>
        <w:rPr>
          <w:rFonts w:cs="Arial"/>
          <w:snapToGrid/>
          <w:szCs w:val="24"/>
        </w:rPr>
      </w:pPr>
      <w:r w:rsidRPr="005A7F73">
        <w:rPr>
          <w:rFonts w:cs="Arial"/>
          <w:snapToGrid/>
          <w:szCs w:val="24"/>
        </w:rPr>
        <w:t>[</w:t>
      </w:r>
      <w:bookmarkStart w:id="34" w:name="_Hlk160522139"/>
      <w:r w:rsidRPr="005A7F73">
        <w:rPr>
          <w:rFonts w:cs="Arial"/>
          <w:snapToGrid/>
          <w:szCs w:val="24"/>
        </w:rPr>
        <w:t xml:space="preserve">The SFM is proposing </w:t>
      </w:r>
      <w:r w:rsidR="00193AAB">
        <w:rPr>
          <w:rFonts w:cs="Arial"/>
          <w:snapToGrid/>
          <w:szCs w:val="24"/>
        </w:rPr>
        <w:t>to</w:t>
      </w:r>
      <w:r w:rsidRPr="005A7F73">
        <w:rPr>
          <w:rFonts w:cs="Arial"/>
          <w:snapToGrid/>
          <w:szCs w:val="24"/>
        </w:rPr>
        <w:t xml:space="preserve"> adopt by reference </w:t>
      </w:r>
      <w:r w:rsidRPr="002F436A">
        <w:rPr>
          <w:rFonts w:cs="Arial"/>
          <w:snapToGrid/>
          <w:color w:val="000000"/>
          <w:szCs w:val="24"/>
        </w:rPr>
        <w:t xml:space="preserve">Annex A </w:t>
      </w:r>
      <w:r w:rsidR="00193AAB">
        <w:rPr>
          <w:rFonts w:cs="Arial"/>
          <w:snapToGrid/>
          <w:color w:val="000000"/>
          <w:szCs w:val="24"/>
        </w:rPr>
        <w:t>and</w:t>
      </w:r>
      <w:r w:rsidRPr="002F436A">
        <w:rPr>
          <w:rFonts w:cs="Arial"/>
          <w:snapToGrid/>
          <w:color w:val="000000"/>
          <w:szCs w:val="24"/>
        </w:rPr>
        <w:t xml:space="preserve"> Annex </w:t>
      </w:r>
      <w:r w:rsidR="00193AAB">
        <w:rPr>
          <w:rFonts w:cs="Arial"/>
          <w:snapToGrid/>
          <w:color w:val="000000"/>
          <w:szCs w:val="24"/>
        </w:rPr>
        <w:t>B</w:t>
      </w:r>
      <w:r w:rsidRPr="002F436A">
        <w:rPr>
          <w:rFonts w:cs="Arial"/>
          <w:snapToGrid/>
          <w:szCs w:val="24"/>
        </w:rPr>
        <w:t xml:space="preserve"> without amendment.</w:t>
      </w:r>
      <w:r w:rsidR="00193AAB">
        <w:rPr>
          <w:rFonts w:cs="Arial"/>
          <w:snapToGrid/>
          <w:szCs w:val="24"/>
        </w:rPr>
        <w:t xml:space="preserve"> SFM does not adopt </w:t>
      </w:r>
      <w:r w:rsidR="00193AAB" w:rsidRPr="00193AAB">
        <w:rPr>
          <w:rFonts w:cs="Arial"/>
          <w:snapToGrid/>
          <w:szCs w:val="24"/>
        </w:rPr>
        <w:t xml:space="preserve">Annex </w:t>
      </w:r>
      <w:r w:rsidR="00193AAB">
        <w:rPr>
          <w:rFonts w:cs="Arial"/>
          <w:snapToGrid/>
          <w:szCs w:val="24"/>
        </w:rPr>
        <w:t>C</w:t>
      </w:r>
      <w:r w:rsidR="00193AAB" w:rsidRPr="00193AAB">
        <w:rPr>
          <w:rFonts w:cs="Arial"/>
          <w:snapToGrid/>
          <w:szCs w:val="24"/>
        </w:rPr>
        <w:t xml:space="preserve"> through Annex K</w:t>
      </w:r>
      <w:r w:rsidR="00193AAB">
        <w:rPr>
          <w:rFonts w:cs="Arial"/>
          <w:snapToGrid/>
          <w:szCs w:val="24"/>
        </w:rPr>
        <w:t>.</w:t>
      </w:r>
      <w:bookmarkEnd w:id="34"/>
      <w:r w:rsidRPr="002F436A">
        <w:rPr>
          <w:rFonts w:cs="Arial"/>
          <w:snapToGrid/>
          <w:szCs w:val="24"/>
        </w:rPr>
        <w:t>]</w:t>
      </w:r>
      <w:bookmarkEnd w:id="33"/>
    </w:p>
    <w:p w14:paraId="1D52BB76" w14:textId="77777777" w:rsidR="00513033" w:rsidRPr="0046521A" w:rsidRDefault="00513033" w:rsidP="008E558A">
      <w:pPr>
        <w:pStyle w:val="Heading4"/>
        <w:spacing w:before="0"/>
        <w:ind w:left="0"/>
      </w:pPr>
      <w:r w:rsidRPr="0046521A">
        <w:t xml:space="preserve">Notation: </w:t>
      </w:r>
    </w:p>
    <w:p w14:paraId="623B36A4"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07B3CE24" w14:textId="12EE9DCE" w:rsidR="003B76D0" w:rsidRPr="001613B2" w:rsidRDefault="00513033" w:rsidP="005A7F7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sectPr w:rsidR="003B76D0" w:rsidRPr="001613B2"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Italic">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56A8C2B4"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AF1299">
      <w:t xml:space="preserve">Final </w:t>
    </w:r>
    <w:r>
      <w:t>Express Terms</w:t>
    </w:r>
    <w:r w:rsidR="00A8502F">
      <w:tab/>
    </w:r>
    <w:r w:rsidR="00AF1299">
      <w:t>August 26</w:t>
    </w:r>
    <w:r w:rsidR="00FB570A">
      <w:t>, 2024</w:t>
    </w:r>
  </w:p>
  <w:p w14:paraId="0CAFC6F9" w14:textId="1C780A42" w:rsidR="008908A5" w:rsidRDefault="000962F9" w:rsidP="00AA0C1D">
    <w:pPr>
      <w:pStyle w:val="Footer"/>
      <w:tabs>
        <w:tab w:val="clear" w:pos="4320"/>
        <w:tab w:val="clear" w:pos="8640"/>
        <w:tab w:val="center" w:pos="4860"/>
        <w:tab w:val="right" w:pos="9180"/>
      </w:tabs>
      <w:rPr>
        <w:szCs w:val="16"/>
      </w:rPr>
    </w:pPr>
    <w:r>
      <w:rPr>
        <w:szCs w:val="16"/>
      </w:rPr>
      <w:t xml:space="preserve">SFM </w:t>
    </w:r>
    <w:r w:rsidR="008B1C02">
      <w:rPr>
        <w:szCs w:val="16"/>
      </w:rPr>
      <w:t>01/23</w:t>
    </w:r>
    <w:r w:rsidR="008908A5">
      <w:rPr>
        <w:szCs w:val="16"/>
      </w:rPr>
      <w:t xml:space="preserve"> - Part</w:t>
    </w:r>
    <w:r w:rsidR="00A8502F">
      <w:rPr>
        <w:szCs w:val="16"/>
      </w:rPr>
      <w:t xml:space="preserve"> </w:t>
    </w:r>
    <w:r w:rsidR="008B1C02">
      <w:rPr>
        <w:szCs w:val="16"/>
      </w:rPr>
      <w:t>3</w:t>
    </w:r>
    <w:r>
      <w:rPr>
        <w:szCs w:val="16"/>
      </w:rPr>
      <w:t xml:space="preserve"> </w:t>
    </w:r>
    <w:r w:rsidR="008908A5">
      <w:rPr>
        <w:szCs w:val="16"/>
      </w:rPr>
      <w:t>-</w:t>
    </w:r>
    <w:r w:rsidR="00A8502F">
      <w:rPr>
        <w:szCs w:val="16"/>
      </w:rPr>
      <w:t xml:space="preserve"> </w:t>
    </w:r>
    <w:r w:rsidR="008B1C02">
      <w:rPr>
        <w:szCs w:val="16"/>
      </w:rPr>
      <w:t>2024</w:t>
    </w:r>
    <w:r w:rsidR="00A8502F">
      <w:rPr>
        <w:szCs w:val="16"/>
      </w:rPr>
      <w:t xml:space="preserve"> Triennial</w:t>
    </w:r>
    <w:r w:rsidR="008B1C02">
      <w:rPr>
        <w:szCs w:val="16"/>
      </w:rPr>
      <w:t xml:space="preserve"> </w:t>
    </w:r>
    <w:r w:rsidR="008908A5" w:rsidRPr="006D1470">
      <w:rPr>
        <w:szCs w:val="16"/>
      </w:rPr>
      <w:t>Code Cycle</w:t>
    </w:r>
    <w:r w:rsidR="0070689B">
      <w:rPr>
        <w:szCs w:val="16"/>
      </w:rPr>
      <w:tab/>
    </w:r>
    <w:r w:rsidR="00A8502F">
      <w:rPr>
        <w:szCs w:val="16"/>
      </w:rPr>
      <w:tab/>
    </w:r>
    <w:r w:rsidR="00AF1299">
      <w:rPr>
        <w:szCs w:val="16"/>
      </w:rPr>
      <w:t>FE</w:t>
    </w:r>
    <w:r w:rsidR="00AF245C">
      <w:rPr>
        <w:szCs w:val="16"/>
      </w:rPr>
      <w:t>T</w:t>
    </w:r>
  </w:p>
  <w:p w14:paraId="4E70EC50" w14:textId="5A44CE5E" w:rsidR="008908A5" w:rsidRDefault="008B1C02"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6756FD4"/>
    <w:multiLevelType w:val="hybridMultilevel"/>
    <w:tmpl w:val="B7D85AEC"/>
    <w:lvl w:ilvl="0" w:tplc="73A4D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5"/>
  </w:num>
  <w:num w:numId="3" w16cid:durableId="1549343205">
    <w:abstractNumId w:val="10"/>
  </w:num>
  <w:num w:numId="4" w16cid:durableId="1290357534">
    <w:abstractNumId w:val="16"/>
  </w:num>
  <w:num w:numId="5" w16cid:durableId="366837411">
    <w:abstractNumId w:val="18"/>
  </w:num>
  <w:num w:numId="6" w16cid:durableId="707072491">
    <w:abstractNumId w:val="17"/>
  </w:num>
  <w:num w:numId="7" w16cid:durableId="182212069">
    <w:abstractNumId w:val="11"/>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096217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40A2F"/>
    <w:rsid w:val="00064FDD"/>
    <w:rsid w:val="0006560C"/>
    <w:rsid w:val="00077B06"/>
    <w:rsid w:val="00084B2B"/>
    <w:rsid w:val="0009209D"/>
    <w:rsid w:val="000927A5"/>
    <w:rsid w:val="000962F9"/>
    <w:rsid w:val="000B136A"/>
    <w:rsid w:val="000B4609"/>
    <w:rsid w:val="000B5D13"/>
    <w:rsid w:val="000D78F2"/>
    <w:rsid w:val="000E24B4"/>
    <w:rsid w:val="000E5406"/>
    <w:rsid w:val="000E668B"/>
    <w:rsid w:val="000F5A46"/>
    <w:rsid w:val="00110B4A"/>
    <w:rsid w:val="00123F82"/>
    <w:rsid w:val="00124B88"/>
    <w:rsid w:val="001334A0"/>
    <w:rsid w:val="00141DBE"/>
    <w:rsid w:val="001613B2"/>
    <w:rsid w:val="00164809"/>
    <w:rsid w:val="00175449"/>
    <w:rsid w:val="001826F4"/>
    <w:rsid w:val="00190E7A"/>
    <w:rsid w:val="00193AAB"/>
    <w:rsid w:val="001C4F88"/>
    <w:rsid w:val="001D15D1"/>
    <w:rsid w:val="001D6449"/>
    <w:rsid w:val="001E0A76"/>
    <w:rsid w:val="001E0E55"/>
    <w:rsid w:val="001E2EAA"/>
    <w:rsid w:val="001E3024"/>
    <w:rsid w:val="001E61DF"/>
    <w:rsid w:val="001E635B"/>
    <w:rsid w:val="001E71DE"/>
    <w:rsid w:val="001F2A94"/>
    <w:rsid w:val="001F6735"/>
    <w:rsid w:val="00213103"/>
    <w:rsid w:val="00214F36"/>
    <w:rsid w:val="00234293"/>
    <w:rsid w:val="00234A84"/>
    <w:rsid w:val="00236462"/>
    <w:rsid w:val="002364D8"/>
    <w:rsid w:val="002537B1"/>
    <w:rsid w:val="002678E5"/>
    <w:rsid w:val="002731E9"/>
    <w:rsid w:val="002736CD"/>
    <w:rsid w:val="002915CB"/>
    <w:rsid w:val="00295E27"/>
    <w:rsid w:val="002965E0"/>
    <w:rsid w:val="002A2854"/>
    <w:rsid w:val="002A4FA9"/>
    <w:rsid w:val="002B1738"/>
    <w:rsid w:val="002B339C"/>
    <w:rsid w:val="002D0134"/>
    <w:rsid w:val="002D0385"/>
    <w:rsid w:val="002D3F86"/>
    <w:rsid w:val="002F66D2"/>
    <w:rsid w:val="00301808"/>
    <w:rsid w:val="0030639B"/>
    <w:rsid w:val="00310A63"/>
    <w:rsid w:val="0031250E"/>
    <w:rsid w:val="00314FA7"/>
    <w:rsid w:val="00317906"/>
    <w:rsid w:val="00332C1D"/>
    <w:rsid w:val="003417DA"/>
    <w:rsid w:val="00351E2B"/>
    <w:rsid w:val="00353B32"/>
    <w:rsid w:val="003641DE"/>
    <w:rsid w:val="00364971"/>
    <w:rsid w:val="00372AE5"/>
    <w:rsid w:val="003942B6"/>
    <w:rsid w:val="003B129E"/>
    <w:rsid w:val="003B1930"/>
    <w:rsid w:val="003B410E"/>
    <w:rsid w:val="003B76D0"/>
    <w:rsid w:val="003C56D4"/>
    <w:rsid w:val="003E0D9B"/>
    <w:rsid w:val="003E13BB"/>
    <w:rsid w:val="003E295C"/>
    <w:rsid w:val="003E487C"/>
    <w:rsid w:val="00421C03"/>
    <w:rsid w:val="00424936"/>
    <w:rsid w:val="00427C90"/>
    <w:rsid w:val="00430138"/>
    <w:rsid w:val="004334F0"/>
    <w:rsid w:val="00440828"/>
    <w:rsid w:val="00441CF3"/>
    <w:rsid w:val="00446845"/>
    <w:rsid w:val="00446B57"/>
    <w:rsid w:val="004550FB"/>
    <w:rsid w:val="00462492"/>
    <w:rsid w:val="0046521A"/>
    <w:rsid w:val="00491F16"/>
    <w:rsid w:val="004957C8"/>
    <w:rsid w:val="00495ABE"/>
    <w:rsid w:val="004A08D8"/>
    <w:rsid w:val="004B2AB9"/>
    <w:rsid w:val="004C48A0"/>
    <w:rsid w:val="004C4E46"/>
    <w:rsid w:val="004F4845"/>
    <w:rsid w:val="00513033"/>
    <w:rsid w:val="005326AC"/>
    <w:rsid w:val="00541492"/>
    <w:rsid w:val="005417DB"/>
    <w:rsid w:val="00546C4F"/>
    <w:rsid w:val="005518D8"/>
    <w:rsid w:val="00557099"/>
    <w:rsid w:val="00563190"/>
    <w:rsid w:val="00572965"/>
    <w:rsid w:val="00576B69"/>
    <w:rsid w:val="00577DE2"/>
    <w:rsid w:val="00590DD3"/>
    <w:rsid w:val="00593DDD"/>
    <w:rsid w:val="00596B94"/>
    <w:rsid w:val="005A7F73"/>
    <w:rsid w:val="005C3AB5"/>
    <w:rsid w:val="005E162F"/>
    <w:rsid w:val="005E4496"/>
    <w:rsid w:val="005E47B9"/>
    <w:rsid w:val="005F1F14"/>
    <w:rsid w:val="00600471"/>
    <w:rsid w:val="0061175B"/>
    <w:rsid w:val="006169B9"/>
    <w:rsid w:val="006179AC"/>
    <w:rsid w:val="0062327D"/>
    <w:rsid w:val="006315D5"/>
    <w:rsid w:val="00642758"/>
    <w:rsid w:val="00643356"/>
    <w:rsid w:val="006563E1"/>
    <w:rsid w:val="00664F8A"/>
    <w:rsid w:val="0066622F"/>
    <w:rsid w:val="00685171"/>
    <w:rsid w:val="0069558C"/>
    <w:rsid w:val="006A21F1"/>
    <w:rsid w:val="006B747C"/>
    <w:rsid w:val="006D1470"/>
    <w:rsid w:val="006F22BC"/>
    <w:rsid w:val="0070689B"/>
    <w:rsid w:val="00721F8A"/>
    <w:rsid w:val="00724832"/>
    <w:rsid w:val="00725420"/>
    <w:rsid w:val="0073368F"/>
    <w:rsid w:val="00733E08"/>
    <w:rsid w:val="0073479C"/>
    <w:rsid w:val="00750097"/>
    <w:rsid w:val="0075081F"/>
    <w:rsid w:val="007518DF"/>
    <w:rsid w:val="0075455E"/>
    <w:rsid w:val="00756E25"/>
    <w:rsid w:val="007609E0"/>
    <w:rsid w:val="00767398"/>
    <w:rsid w:val="00767766"/>
    <w:rsid w:val="00772F94"/>
    <w:rsid w:val="00777462"/>
    <w:rsid w:val="00783854"/>
    <w:rsid w:val="00794DF2"/>
    <w:rsid w:val="007B0231"/>
    <w:rsid w:val="007B4553"/>
    <w:rsid w:val="007C48C5"/>
    <w:rsid w:val="007D2BB2"/>
    <w:rsid w:val="007D4133"/>
    <w:rsid w:val="0081299A"/>
    <w:rsid w:val="00823640"/>
    <w:rsid w:val="008236F5"/>
    <w:rsid w:val="0083127A"/>
    <w:rsid w:val="00831F00"/>
    <w:rsid w:val="00847B60"/>
    <w:rsid w:val="00860D91"/>
    <w:rsid w:val="00880C35"/>
    <w:rsid w:val="00885EFE"/>
    <w:rsid w:val="008908A5"/>
    <w:rsid w:val="00894C17"/>
    <w:rsid w:val="008A2AC5"/>
    <w:rsid w:val="008A63B1"/>
    <w:rsid w:val="008B1C02"/>
    <w:rsid w:val="008B6F4E"/>
    <w:rsid w:val="008C3A20"/>
    <w:rsid w:val="008C3F23"/>
    <w:rsid w:val="008C6B19"/>
    <w:rsid w:val="008D1F39"/>
    <w:rsid w:val="008D594F"/>
    <w:rsid w:val="008E1445"/>
    <w:rsid w:val="008E36A8"/>
    <w:rsid w:val="008E558A"/>
    <w:rsid w:val="008F1AE2"/>
    <w:rsid w:val="008F2193"/>
    <w:rsid w:val="008F783D"/>
    <w:rsid w:val="00904241"/>
    <w:rsid w:val="00904F97"/>
    <w:rsid w:val="0090753D"/>
    <w:rsid w:val="009113BF"/>
    <w:rsid w:val="0091418F"/>
    <w:rsid w:val="00920729"/>
    <w:rsid w:val="00941C37"/>
    <w:rsid w:val="00965AAB"/>
    <w:rsid w:val="00965F09"/>
    <w:rsid w:val="00974F97"/>
    <w:rsid w:val="00975FF7"/>
    <w:rsid w:val="0097699C"/>
    <w:rsid w:val="0099585B"/>
    <w:rsid w:val="009A693A"/>
    <w:rsid w:val="009B75E7"/>
    <w:rsid w:val="009C2981"/>
    <w:rsid w:val="009C3DC7"/>
    <w:rsid w:val="009C529A"/>
    <w:rsid w:val="009D08E0"/>
    <w:rsid w:val="009D5412"/>
    <w:rsid w:val="009D60C1"/>
    <w:rsid w:val="009E0E79"/>
    <w:rsid w:val="009E3D5B"/>
    <w:rsid w:val="009E629C"/>
    <w:rsid w:val="009E6B12"/>
    <w:rsid w:val="009F23ED"/>
    <w:rsid w:val="00A10BA7"/>
    <w:rsid w:val="00A138AA"/>
    <w:rsid w:val="00A24C4A"/>
    <w:rsid w:val="00A53610"/>
    <w:rsid w:val="00A60CA1"/>
    <w:rsid w:val="00A61D13"/>
    <w:rsid w:val="00A63B58"/>
    <w:rsid w:val="00A727FD"/>
    <w:rsid w:val="00A76E67"/>
    <w:rsid w:val="00A81002"/>
    <w:rsid w:val="00A8502F"/>
    <w:rsid w:val="00A945EE"/>
    <w:rsid w:val="00A978D0"/>
    <w:rsid w:val="00AA0C1D"/>
    <w:rsid w:val="00AB1F8F"/>
    <w:rsid w:val="00AC1F10"/>
    <w:rsid w:val="00AC7B28"/>
    <w:rsid w:val="00AD280C"/>
    <w:rsid w:val="00AF1299"/>
    <w:rsid w:val="00AF245C"/>
    <w:rsid w:val="00AF4E96"/>
    <w:rsid w:val="00B0287E"/>
    <w:rsid w:val="00B077C7"/>
    <w:rsid w:val="00B11AD5"/>
    <w:rsid w:val="00B12076"/>
    <w:rsid w:val="00B47F52"/>
    <w:rsid w:val="00B617C0"/>
    <w:rsid w:val="00B77C7E"/>
    <w:rsid w:val="00BA24BC"/>
    <w:rsid w:val="00BA43FD"/>
    <w:rsid w:val="00BB1A7E"/>
    <w:rsid w:val="00BC1102"/>
    <w:rsid w:val="00BC172A"/>
    <w:rsid w:val="00BC2893"/>
    <w:rsid w:val="00BC3F6E"/>
    <w:rsid w:val="00BC7A35"/>
    <w:rsid w:val="00BD5235"/>
    <w:rsid w:val="00BE0AAA"/>
    <w:rsid w:val="00BE48F6"/>
    <w:rsid w:val="00BF1B38"/>
    <w:rsid w:val="00BF251B"/>
    <w:rsid w:val="00BF4951"/>
    <w:rsid w:val="00C36475"/>
    <w:rsid w:val="00C44C36"/>
    <w:rsid w:val="00C508CF"/>
    <w:rsid w:val="00C60C2D"/>
    <w:rsid w:val="00C62D37"/>
    <w:rsid w:val="00C67B72"/>
    <w:rsid w:val="00C74CC9"/>
    <w:rsid w:val="00C80CD9"/>
    <w:rsid w:val="00CB4F72"/>
    <w:rsid w:val="00CC0732"/>
    <w:rsid w:val="00CD71EA"/>
    <w:rsid w:val="00CE406D"/>
    <w:rsid w:val="00CE56AD"/>
    <w:rsid w:val="00CE7897"/>
    <w:rsid w:val="00CF13C1"/>
    <w:rsid w:val="00CF1C3C"/>
    <w:rsid w:val="00CF3372"/>
    <w:rsid w:val="00D07F36"/>
    <w:rsid w:val="00D205E3"/>
    <w:rsid w:val="00D275E7"/>
    <w:rsid w:val="00D52F98"/>
    <w:rsid w:val="00D668A8"/>
    <w:rsid w:val="00D75ED1"/>
    <w:rsid w:val="00D77E5E"/>
    <w:rsid w:val="00D84F8C"/>
    <w:rsid w:val="00D91AE2"/>
    <w:rsid w:val="00DA5CDA"/>
    <w:rsid w:val="00DB698A"/>
    <w:rsid w:val="00DC5856"/>
    <w:rsid w:val="00DE604C"/>
    <w:rsid w:val="00DF04CF"/>
    <w:rsid w:val="00DF30F6"/>
    <w:rsid w:val="00DF6625"/>
    <w:rsid w:val="00E0155B"/>
    <w:rsid w:val="00E100C3"/>
    <w:rsid w:val="00E119F2"/>
    <w:rsid w:val="00E1258C"/>
    <w:rsid w:val="00E1356B"/>
    <w:rsid w:val="00E16084"/>
    <w:rsid w:val="00E171CC"/>
    <w:rsid w:val="00E30C75"/>
    <w:rsid w:val="00E3790F"/>
    <w:rsid w:val="00E46E3A"/>
    <w:rsid w:val="00E53D35"/>
    <w:rsid w:val="00E817C3"/>
    <w:rsid w:val="00E929AD"/>
    <w:rsid w:val="00EA2EB9"/>
    <w:rsid w:val="00EB257F"/>
    <w:rsid w:val="00EB7391"/>
    <w:rsid w:val="00EC27FE"/>
    <w:rsid w:val="00EC5416"/>
    <w:rsid w:val="00EC55B6"/>
    <w:rsid w:val="00ED27E1"/>
    <w:rsid w:val="00ED2AF5"/>
    <w:rsid w:val="00ED3853"/>
    <w:rsid w:val="00EE70C4"/>
    <w:rsid w:val="00EF26A9"/>
    <w:rsid w:val="00EF26E2"/>
    <w:rsid w:val="00EF3336"/>
    <w:rsid w:val="00F03FB5"/>
    <w:rsid w:val="00F0432E"/>
    <w:rsid w:val="00F057BF"/>
    <w:rsid w:val="00F152F2"/>
    <w:rsid w:val="00F17139"/>
    <w:rsid w:val="00F20FCA"/>
    <w:rsid w:val="00F3096C"/>
    <w:rsid w:val="00F35A6C"/>
    <w:rsid w:val="00F421DD"/>
    <w:rsid w:val="00F4291A"/>
    <w:rsid w:val="00F53365"/>
    <w:rsid w:val="00F61E87"/>
    <w:rsid w:val="00F676E8"/>
    <w:rsid w:val="00F752A0"/>
    <w:rsid w:val="00F768B4"/>
    <w:rsid w:val="00F775F3"/>
    <w:rsid w:val="00F84D76"/>
    <w:rsid w:val="00F94DD4"/>
    <w:rsid w:val="00F97C83"/>
    <w:rsid w:val="00FB4B23"/>
    <w:rsid w:val="00FB570A"/>
    <w:rsid w:val="00FD45EA"/>
    <w:rsid w:val="00FD6CCC"/>
    <w:rsid w:val="00FE2EDB"/>
    <w:rsid w:val="00FE4917"/>
    <w:rsid w:val="00FE5B54"/>
    <w:rsid w:val="00FF11EA"/>
    <w:rsid w:val="00FF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828"/>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F03FB5"/>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03FB5"/>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c-sub-section-detailtitle">
    <w:name w:val="c-sub-section-detail__title"/>
    <w:basedOn w:val="DefaultParagraphFont"/>
    <w:rsid w:val="004550FB"/>
  </w:style>
  <w:style w:type="paragraph" w:customStyle="1" w:styleId="-base">
    <w:name w:val="-base"/>
    <w:basedOn w:val="Normal"/>
    <w:rsid w:val="004550FB"/>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semiHidden/>
    <w:unhideWhenUsed/>
    <w:rsid w:val="001E61DF"/>
    <w:rPr>
      <w:color w:val="0000FF"/>
      <w:u w:val="single"/>
    </w:rPr>
  </w:style>
  <w:style w:type="character" w:styleId="CommentReference">
    <w:name w:val="annotation reference"/>
    <w:basedOn w:val="DefaultParagraphFont"/>
    <w:semiHidden/>
    <w:unhideWhenUsed/>
    <w:rsid w:val="00427C90"/>
    <w:rPr>
      <w:sz w:val="16"/>
      <w:szCs w:val="16"/>
    </w:rPr>
  </w:style>
  <w:style w:type="paragraph" w:styleId="CommentText">
    <w:name w:val="annotation text"/>
    <w:basedOn w:val="Normal"/>
    <w:link w:val="CommentTextChar"/>
    <w:unhideWhenUsed/>
    <w:rsid w:val="00427C90"/>
    <w:rPr>
      <w:sz w:val="20"/>
    </w:rPr>
  </w:style>
  <w:style w:type="character" w:customStyle="1" w:styleId="CommentTextChar">
    <w:name w:val="Comment Text Char"/>
    <w:basedOn w:val="DefaultParagraphFont"/>
    <w:link w:val="CommentText"/>
    <w:rsid w:val="00427C90"/>
    <w:rPr>
      <w:rFonts w:ascii="Arial" w:hAnsi="Arial"/>
      <w:snapToGrid w:val="0"/>
    </w:rPr>
  </w:style>
  <w:style w:type="paragraph" w:styleId="CommentSubject">
    <w:name w:val="annotation subject"/>
    <w:basedOn w:val="CommentText"/>
    <w:next w:val="CommentText"/>
    <w:link w:val="CommentSubjectChar"/>
    <w:semiHidden/>
    <w:unhideWhenUsed/>
    <w:rsid w:val="00427C90"/>
    <w:rPr>
      <w:b/>
      <w:bCs/>
    </w:rPr>
  </w:style>
  <w:style w:type="character" w:customStyle="1" w:styleId="CommentSubjectChar">
    <w:name w:val="Comment Subject Char"/>
    <w:basedOn w:val="CommentTextChar"/>
    <w:link w:val="CommentSubject"/>
    <w:semiHidden/>
    <w:rsid w:val="00427C90"/>
    <w:rPr>
      <w:rFonts w:ascii="Arial" w:hAnsi="Arial"/>
      <w:b/>
      <w:bCs/>
      <w:snapToGrid w:val="0"/>
    </w:rPr>
  </w:style>
  <w:style w:type="paragraph" w:customStyle="1" w:styleId="paragraph">
    <w:name w:val="paragraph"/>
    <w:basedOn w:val="Normal"/>
    <w:rsid w:val="00317906"/>
    <w:pPr>
      <w:widowControl/>
      <w:spacing w:before="100" w:beforeAutospacing="1" w:after="100" w:afterAutospacing="1"/>
    </w:pPr>
    <w:rPr>
      <w:rFonts w:ascii="Calibri" w:eastAsiaTheme="minorHAnsi" w:hAnsi="Calibri" w:cs="Calibri"/>
      <w:snapToGrid/>
      <w:sz w:val="22"/>
      <w:szCs w:val="22"/>
    </w:rPr>
  </w:style>
  <w:style w:type="character" w:customStyle="1" w:styleId="normaltextrun">
    <w:name w:val="normaltextrun"/>
    <w:basedOn w:val="DefaultParagraphFont"/>
    <w:rsid w:val="00317906"/>
  </w:style>
  <w:style w:type="character" w:customStyle="1" w:styleId="eop">
    <w:name w:val="eop"/>
    <w:basedOn w:val="DefaultParagraphFont"/>
    <w:rsid w:val="00317906"/>
  </w:style>
  <w:style w:type="character" w:customStyle="1" w:styleId="tabchar">
    <w:name w:val="tabchar"/>
    <w:basedOn w:val="DefaultParagraphFont"/>
    <w:rsid w:val="0031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59398">
      <w:bodyDiv w:val="1"/>
      <w:marLeft w:val="0"/>
      <w:marRight w:val="0"/>
      <w:marTop w:val="0"/>
      <w:marBottom w:val="0"/>
      <w:divBdr>
        <w:top w:val="none" w:sz="0" w:space="0" w:color="auto"/>
        <w:left w:val="none" w:sz="0" w:space="0" w:color="auto"/>
        <w:bottom w:val="none" w:sz="0" w:space="0" w:color="auto"/>
        <w:right w:val="none" w:sz="0" w:space="0" w:color="auto"/>
      </w:divBdr>
    </w:div>
    <w:div w:id="303776796">
      <w:bodyDiv w:val="1"/>
      <w:marLeft w:val="0"/>
      <w:marRight w:val="0"/>
      <w:marTop w:val="0"/>
      <w:marBottom w:val="0"/>
      <w:divBdr>
        <w:top w:val="none" w:sz="0" w:space="0" w:color="auto"/>
        <w:left w:val="none" w:sz="0" w:space="0" w:color="auto"/>
        <w:bottom w:val="none" w:sz="0" w:space="0" w:color="auto"/>
        <w:right w:val="none" w:sz="0" w:space="0" w:color="auto"/>
      </w:divBdr>
      <w:divsChild>
        <w:div w:id="1867517256">
          <w:marLeft w:val="0"/>
          <w:marRight w:val="0"/>
          <w:marTop w:val="0"/>
          <w:marBottom w:val="0"/>
          <w:divBdr>
            <w:top w:val="none" w:sz="0" w:space="0" w:color="auto"/>
            <w:left w:val="none" w:sz="0" w:space="0" w:color="auto"/>
            <w:bottom w:val="none" w:sz="0" w:space="0" w:color="auto"/>
            <w:right w:val="none" w:sz="0" w:space="0" w:color="auto"/>
          </w:divBdr>
          <w:divsChild>
            <w:div w:id="20299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60195781">
      <w:bodyDiv w:val="1"/>
      <w:marLeft w:val="0"/>
      <w:marRight w:val="0"/>
      <w:marTop w:val="0"/>
      <w:marBottom w:val="0"/>
      <w:divBdr>
        <w:top w:val="none" w:sz="0" w:space="0" w:color="auto"/>
        <w:left w:val="none" w:sz="0" w:space="0" w:color="auto"/>
        <w:bottom w:val="none" w:sz="0" w:space="0" w:color="auto"/>
        <w:right w:val="none" w:sz="0" w:space="0" w:color="auto"/>
      </w:divBdr>
    </w:div>
    <w:div w:id="581372777">
      <w:bodyDiv w:val="1"/>
      <w:marLeft w:val="0"/>
      <w:marRight w:val="0"/>
      <w:marTop w:val="0"/>
      <w:marBottom w:val="0"/>
      <w:divBdr>
        <w:top w:val="none" w:sz="0" w:space="0" w:color="auto"/>
        <w:left w:val="none" w:sz="0" w:space="0" w:color="auto"/>
        <w:bottom w:val="none" w:sz="0" w:space="0" w:color="auto"/>
        <w:right w:val="none" w:sz="0" w:space="0" w:color="auto"/>
      </w:divBdr>
      <w:divsChild>
        <w:div w:id="2001155020">
          <w:marLeft w:val="0"/>
          <w:marRight w:val="0"/>
          <w:marTop w:val="0"/>
          <w:marBottom w:val="0"/>
          <w:divBdr>
            <w:top w:val="none" w:sz="0" w:space="0" w:color="auto"/>
            <w:left w:val="none" w:sz="0" w:space="0" w:color="auto"/>
            <w:bottom w:val="none" w:sz="0" w:space="0" w:color="auto"/>
            <w:right w:val="none" w:sz="0" w:space="0" w:color="auto"/>
          </w:divBdr>
          <w:divsChild>
            <w:div w:id="1676686943">
              <w:marLeft w:val="0"/>
              <w:marRight w:val="0"/>
              <w:marTop w:val="0"/>
              <w:marBottom w:val="0"/>
              <w:divBdr>
                <w:top w:val="none" w:sz="0" w:space="0" w:color="auto"/>
                <w:left w:val="none" w:sz="0" w:space="0" w:color="auto"/>
                <w:bottom w:val="none" w:sz="0" w:space="0" w:color="auto"/>
                <w:right w:val="none" w:sz="0" w:space="0" w:color="auto"/>
              </w:divBdr>
              <w:divsChild>
                <w:div w:id="17262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20615">
      <w:bodyDiv w:val="1"/>
      <w:marLeft w:val="0"/>
      <w:marRight w:val="0"/>
      <w:marTop w:val="0"/>
      <w:marBottom w:val="0"/>
      <w:divBdr>
        <w:top w:val="none" w:sz="0" w:space="0" w:color="auto"/>
        <w:left w:val="none" w:sz="0" w:space="0" w:color="auto"/>
        <w:bottom w:val="none" w:sz="0" w:space="0" w:color="auto"/>
        <w:right w:val="none" w:sz="0" w:space="0" w:color="auto"/>
      </w:divBdr>
      <w:divsChild>
        <w:div w:id="1751854445">
          <w:marLeft w:val="0"/>
          <w:marRight w:val="0"/>
          <w:marTop w:val="0"/>
          <w:marBottom w:val="0"/>
          <w:divBdr>
            <w:top w:val="single" w:sz="2" w:space="0" w:color="E5E7EB"/>
            <w:left w:val="single" w:sz="2" w:space="0" w:color="E5E7EB"/>
            <w:bottom w:val="single" w:sz="2" w:space="0" w:color="E5E7EB"/>
            <w:right w:val="single" w:sz="2" w:space="0" w:color="E5E7EB"/>
          </w:divBdr>
          <w:divsChild>
            <w:div w:id="1509910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0362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606862">
      <w:bodyDiv w:val="1"/>
      <w:marLeft w:val="0"/>
      <w:marRight w:val="0"/>
      <w:marTop w:val="0"/>
      <w:marBottom w:val="0"/>
      <w:divBdr>
        <w:top w:val="none" w:sz="0" w:space="0" w:color="auto"/>
        <w:left w:val="none" w:sz="0" w:space="0" w:color="auto"/>
        <w:bottom w:val="none" w:sz="0" w:space="0" w:color="auto"/>
        <w:right w:val="none" w:sz="0" w:space="0" w:color="auto"/>
      </w:divBdr>
      <w:divsChild>
        <w:div w:id="1948274049">
          <w:marLeft w:val="0"/>
          <w:marRight w:val="0"/>
          <w:marTop w:val="0"/>
          <w:marBottom w:val="0"/>
          <w:divBdr>
            <w:top w:val="single" w:sz="2" w:space="0" w:color="000000"/>
            <w:left w:val="single" w:sz="2" w:space="0" w:color="000000"/>
            <w:bottom w:val="single" w:sz="2" w:space="0" w:color="000000"/>
            <w:right w:val="single" w:sz="2" w:space="0" w:color="000000"/>
          </w:divBdr>
          <w:divsChild>
            <w:div w:id="1512185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4053227">
          <w:marLeft w:val="0"/>
          <w:marRight w:val="0"/>
          <w:marTop w:val="0"/>
          <w:marBottom w:val="0"/>
          <w:divBdr>
            <w:top w:val="single" w:sz="2" w:space="0" w:color="000000"/>
            <w:left w:val="single" w:sz="2" w:space="0" w:color="000000"/>
            <w:bottom w:val="single" w:sz="2" w:space="0" w:color="000000"/>
            <w:right w:val="single" w:sz="2" w:space="0" w:color="000000"/>
          </w:divBdr>
          <w:divsChild>
            <w:div w:id="1949582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5455281">
          <w:marLeft w:val="0"/>
          <w:marRight w:val="0"/>
          <w:marTop w:val="0"/>
          <w:marBottom w:val="0"/>
          <w:divBdr>
            <w:top w:val="single" w:sz="2" w:space="0" w:color="000000"/>
            <w:left w:val="single" w:sz="2" w:space="0" w:color="000000"/>
            <w:bottom w:val="single" w:sz="2" w:space="0" w:color="000000"/>
            <w:right w:val="single" w:sz="2" w:space="0" w:color="000000"/>
          </w:divBdr>
          <w:divsChild>
            <w:div w:id="1633825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52698">
          <w:marLeft w:val="0"/>
          <w:marRight w:val="0"/>
          <w:marTop w:val="0"/>
          <w:marBottom w:val="0"/>
          <w:divBdr>
            <w:top w:val="single" w:sz="2" w:space="0" w:color="000000"/>
            <w:left w:val="single" w:sz="2" w:space="0" w:color="000000"/>
            <w:bottom w:val="single" w:sz="2" w:space="0" w:color="000000"/>
            <w:right w:val="single" w:sz="2" w:space="0" w:color="000000"/>
          </w:divBdr>
          <w:divsChild>
            <w:div w:id="371001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3051387">
      <w:bodyDiv w:val="1"/>
      <w:marLeft w:val="0"/>
      <w:marRight w:val="0"/>
      <w:marTop w:val="0"/>
      <w:marBottom w:val="0"/>
      <w:divBdr>
        <w:top w:val="none" w:sz="0" w:space="0" w:color="auto"/>
        <w:left w:val="none" w:sz="0" w:space="0" w:color="auto"/>
        <w:bottom w:val="none" w:sz="0" w:space="0" w:color="auto"/>
        <w:right w:val="none" w:sz="0" w:space="0" w:color="auto"/>
      </w:divBdr>
      <w:divsChild>
        <w:div w:id="275478958">
          <w:marLeft w:val="0"/>
          <w:marRight w:val="0"/>
          <w:marTop w:val="0"/>
          <w:marBottom w:val="0"/>
          <w:divBdr>
            <w:top w:val="none" w:sz="0" w:space="0" w:color="auto"/>
            <w:left w:val="none" w:sz="0" w:space="0" w:color="auto"/>
            <w:bottom w:val="none" w:sz="0" w:space="0" w:color="auto"/>
            <w:right w:val="none" w:sz="0" w:space="0" w:color="auto"/>
          </w:divBdr>
          <w:divsChild>
            <w:div w:id="1532840522">
              <w:marLeft w:val="0"/>
              <w:marRight w:val="0"/>
              <w:marTop w:val="0"/>
              <w:marBottom w:val="0"/>
              <w:divBdr>
                <w:top w:val="none" w:sz="0" w:space="0" w:color="auto"/>
                <w:left w:val="none" w:sz="0" w:space="0" w:color="auto"/>
                <w:bottom w:val="none" w:sz="0" w:space="0" w:color="auto"/>
                <w:right w:val="none" w:sz="0" w:space="0" w:color="auto"/>
              </w:divBdr>
              <w:divsChild>
                <w:div w:id="1050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0590">
      <w:bodyDiv w:val="1"/>
      <w:marLeft w:val="0"/>
      <w:marRight w:val="0"/>
      <w:marTop w:val="0"/>
      <w:marBottom w:val="0"/>
      <w:divBdr>
        <w:top w:val="none" w:sz="0" w:space="0" w:color="auto"/>
        <w:left w:val="none" w:sz="0" w:space="0" w:color="auto"/>
        <w:bottom w:val="none" w:sz="0" w:space="0" w:color="auto"/>
        <w:right w:val="none" w:sz="0" w:space="0" w:color="auto"/>
      </w:divBdr>
    </w:div>
    <w:div w:id="1374578840">
      <w:bodyDiv w:val="1"/>
      <w:marLeft w:val="0"/>
      <w:marRight w:val="0"/>
      <w:marTop w:val="0"/>
      <w:marBottom w:val="0"/>
      <w:divBdr>
        <w:top w:val="none" w:sz="0" w:space="0" w:color="auto"/>
        <w:left w:val="none" w:sz="0" w:space="0" w:color="auto"/>
        <w:bottom w:val="none" w:sz="0" w:space="0" w:color="auto"/>
        <w:right w:val="none" w:sz="0" w:space="0" w:color="auto"/>
      </w:divBdr>
      <w:divsChild>
        <w:div w:id="498008293">
          <w:marLeft w:val="0"/>
          <w:marRight w:val="0"/>
          <w:marTop w:val="0"/>
          <w:marBottom w:val="0"/>
          <w:divBdr>
            <w:top w:val="none" w:sz="0" w:space="0" w:color="auto"/>
            <w:left w:val="none" w:sz="0" w:space="0" w:color="auto"/>
            <w:bottom w:val="none" w:sz="0" w:space="0" w:color="auto"/>
            <w:right w:val="none" w:sz="0" w:space="0" w:color="auto"/>
          </w:divBdr>
          <w:divsChild>
            <w:div w:id="1608078890">
              <w:marLeft w:val="0"/>
              <w:marRight w:val="0"/>
              <w:marTop w:val="0"/>
              <w:marBottom w:val="0"/>
              <w:divBdr>
                <w:top w:val="none" w:sz="0" w:space="0" w:color="auto"/>
                <w:left w:val="none" w:sz="0" w:space="0" w:color="auto"/>
                <w:bottom w:val="none" w:sz="0" w:space="0" w:color="auto"/>
                <w:right w:val="none" w:sz="0" w:space="0" w:color="auto"/>
              </w:divBdr>
              <w:divsChild>
                <w:div w:id="9831">
                  <w:marLeft w:val="0"/>
                  <w:marRight w:val="0"/>
                  <w:marTop w:val="0"/>
                  <w:marBottom w:val="0"/>
                  <w:divBdr>
                    <w:top w:val="none" w:sz="0" w:space="0" w:color="auto"/>
                    <w:left w:val="none" w:sz="0" w:space="0" w:color="auto"/>
                    <w:bottom w:val="none" w:sz="0" w:space="0" w:color="auto"/>
                    <w:right w:val="none" w:sz="0" w:space="0" w:color="auto"/>
                  </w:divBdr>
                </w:div>
                <w:div w:id="1542401602">
                  <w:marLeft w:val="0"/>
                  <w:marRight w:val="0"/>
                  <w:marTop w:val="0"/>
                  <w:marBottom w:val="0"/>
                  <w:divBdr>
                    <w:top w:val="none" w:sz="0" w:space="0" w:color="auto"/>
                    <w:left w:val="none" w:sz="0" w:space="0" w:color="auto"/>
                    <w:bottom w:val="none" w:sz="0" w:space="0" w:color="auto"/>
                    <w:right w:val="none" w:sz="0" w:space="0" w:color="auto"/>
                  </w:divBdr>
                </w:div>
                <w:div w:id="984314678">
                  <w:marLeft w:val="0"/>
                  <w:marRight w:val="0"/>
                  <w:marTop w:val="0"/>
                  <w:marBottom w:val="0"/>
                  <w:divBdr>
                    <w:top w:val="none" w:sz="0" w:space="0" w:color="auto"/>
                    <w:left w:val="none" w:sz="0" w:space="0" w:color="auto"/>
                    <w:bottom w:val="none" w:sz="0" w:space="0" w:color="auto"/>
                    <w:right w:val="none" w:sz="0" w:space="0" w:color="auto"/>
                  </w:divBdr>
                </w:div>
                <w:div w:id="2082487034">
                  <w:marLeft w:val="0"/>
                  <w:marRight w:val="0"/>
                  <w:marTop w:val="0"/>
                  <w:marBottom w:val="0"/>
                  <w:divBdr>
                    <w:top w:val="none" w:sz="0" w:space="0" w:color="auto"/>
                    <w:left w:val="none" w:sz="0" w:space="0" w:color="auto"/>
                    <w:bottom w:val="none" w:sz="0" w:space="0" w:color="auto"/>
                    <w:right w:val="none" w:sz="0" w:space="0" w:color="auto"/>
                  </w:divBdr>
                </w:div>
                <w:div w:id="575556408">
                  <w:marLeft w:val="0"/>
                  <w:marRight w:val="0"/>
                  <w:marTop w:val="0"/>
                  <w:marBottom w:val="0"/>
                  <w:divBdr>
                    <w:top w:val="none" w:sz="0" w:space="0" w:color="auto"/>
                    <w:left w:val="none" w:sz="0" w:space="0" w:color="auto"/>
                    <w:bottom w:val="none" w:sz="0" w:space="0" w:color="auto"/>
                    <w:right w:val="none" w:sz="0" w:space="0" w:color="auto"/>
                  </w:divBdr>
                </w:div>
                <w:div w:id="1230112232">
                  <w:marLeft w:val="0"/>
                  <w:marRight w:val="0"/>
                  <w:marTop w:val="0"/>
                  <w:marBottom w:val="0"/>
                  <w:divBdr>
                    <w:top w:val="none" w:sz="0" w:space="0" w:color="auto"/>
                    <w:left w:val="none" w:sz="0" w:space="0" w:color="auto"/>
                    <w:bottom w:val="none" w:sz="0" w:space="0" w:color="auto"/>
                    <w:right w:val="none" w:sz="0" w:space="0" w:color="auto"/>
                  </w:divBdr>
                </w:div>
                <w:div w:id="644353661">
                  <w:marLeft w:val="0"/>
                  <w:marRight w:val="0"/>
                  <w:marTop w:val="0"/>
                  <w:marBottom w:val="0"/>
                  <w:divBdr>
                    <w:top w:val="none" w:sz="0" w:space="0" w:color="auto"/>
                    <w:left w:val="none" w:sz="0" w:space="0" w:color="auto"/>
                    <w:bottom w:val="none" w:sz="0" w:space="0" w:color="auto"/>
                    <w:right w:val="none" w:sz="0" w:space="0" w:color="auto"/>
                  </w:divBdr>
                </w:div>
                <w:div w:id="1441607336">
                  <w:marLeft w:val="0"/>
                  <w:marRight w:val="0"/>
                  <w:marTop w:val="0"/>
                  <w:marBottom w:val="0"/>
                  <w:divBdr>
                    <w:top w:val="none" w:sz="0" w:space="0" w:color="auto"/>
                    <w:left w:val="none" w:sz="0" w:space="0" w:color="auto"/>
                    <w:bottom w:val="none" w:sz="0" w:space="0" w:color="auto"/>
                    <w:right w:val="none" w:sz="0" w:space="0" w:color="auto"/>
                  </w:divBdr>
                </w:div>
                <w:div w:id="152764580">
                  <w:marLeft w:val="0"/>
                  <w:marRight w:val="0"/>
                  <w:marTop w:val="0"/>
                  <w:marBottom w:val="0"/>
                  <w:divBdr>
                    <w:top w:val="none" w:sz="0" w:space="0" w:color="auto"/>
                    <w:left w:val="none" w:sz="0" w:space="0" w:color="auto"/>
                    <w:bottom w:val="none" w:sz="0" w:space="0" w:color="auto"/>
                    <w:right w:val="none" w:sz="0" w:space="0" w:color="auto"/>
                  </w:divBdr>
                </w:div>
                <w:div w:id="247618449">
                  <w:marLeft w:val="0"/>
                  <w:marRight w:val="0"/>
                  <w:marTop w:val="0"/>
                  <w:marBottom w:val="0"/>
                  <w:divBdr>
                    <w:top w:val="none" w:sz="0" w:space="0" w:color="auto"/>
                    <w:left w:val="none" w:sz="0" w:space="0" w:color="auto"/>
                    <w:bottom w:val="none" w:sz="0" w:space="0" w:color="auto"/>
                    <w:right w:val="none" w:sz="0" w:space="0" w:color="auto"/>
                  </w:divBdr>
                </w:div>
                <w:div w:id="1642928848">
                  <w:marLeft w:val="0"/>
                  <w:marRight w:val="0"/>
                  <w:marTop w:val="0"/>
                  <w:marBottom w:val="0"/>
                  <w:divBdr>
                    <w:top w:val="none" w:sz="0" w:space="0" w:color="auto"/>
                    <w:left w:val="none" w:sz="0" w:space="0" w:color="auto"/>
                    <w:bottom w:val="none" w:sz="0" w:space="0" w:color="auto"/>
                    <w:right w:val="none" w:sz="0" w:space="0" w:color="auto"/>
                  </w:divBdr>
                </w:div>
                <w:div w:id="560335845">
                  <w:marLeft w:val="0"/>
                  <w:marRight w:val="0"/>
                  <w:marTop w:val="0"/>
                  <w:marBottom w:val="0"/>
                  <w:divBdr>
                    <w:top w:val="none" w:sz="0" w:space="0" w:color="auto"/>
                    <w:left w:val="none" w:sz="0" w:space="0" w:color="auto"/>
                    <w:bottom w:val="none" w:sz="0" w:space="0" w:color="auto"/>
                    <w:right w:val="none" w:sz="0" w:space="0" w:color="auto"/>
                  </w:divBdr>
                </w:div>
                <w:div w:id="1334527558">
                  <w:marLeft w:val="0"/>
                  <w:marRight w:val="0"/>
                  <w:marTop w:val="0"/>
                  <w:marBottom w:val="0"/>
                  <w:divBdr>
                    <w:top w:val="none" w:sz="0" w:space="0" w:color="auto"/>
                    <w:left w:val="none" w:sz="0" w:space="0" w:color="auto"/>
                    <w:bottom w:val="none" w:sz="0" w:space="0" w:color="auto"/>
                    <w:right w:val="none" w:sz="0" w:space="0" w:color="auto"/>
                  </w:divBdr>
                </w:div>
                <w:div w:id="2119907794">
                  <w:marLeft w:val="0"/>
                  <w:marRight w:val="0"/>
                  <w:marTop w:val="0"/>
                  <w:marBottom w:val="0"/>
                  <w:divBdr>
                    <w:top w:val="none" w:sz="0" w:space="0" w:color="auto"/>
                    <w:left w:val="none" w:sz="0" w:space="0" w:color="auto"/>
                    <w:bottom w:val="none" w:sz="0" w:space="0" w:color="auto"/>
                    <w:right w:val="none" w:sz="0" w:space="0" w:color="auto"/>
                  </w:divBdr>
                </w:div>
                <w:div w:id="1063481109">
                  <w:marLeft w:val="0"/>
                  <w:marRight w:val="0"/>
                  <w:marTop w:val="0"/>
                  <w:marBottom w:val="0"/>
                  <w:divBdr>
                    <w:top w:val="none" w:sz="0" w:space="0" w:color="auto"/>
                    <w:left w:val="none" w:sz="0" w:space="0" w:color="auto"/>
                    <w:bottom w:val="none" w:sz="0" w:space="0" w:color="auto"/>
                    <w:right w:val="none" w:sz="0" w:space="0" w:color="auto"/>
                  </w:divBdr>
                </w:div>
                <w:div w:id="572357208">
                  <w:marLeft w:val="0"/>
                  <w:marRight w:val="0"/>
                  <w:marTop w:val="0"/>
                  <w:marBottom w:val="0"/>
                  <w:divBdr>
                    <w:top w:val="none" w:sz="0" w:space="0" w:color="auto"/>
                    <w:left w:val="none" w:sz="0" w:space="0" w:color="auto"/>
                    <w:bottom w:val="none" w:sz="0" w:space="0" w:color="auto"/>
                    <w:right w:val="none" w:sz="0" w:space="0" w:color="auto"/>
                  </w:divBdr>
                </w:div>
                <w:div w:id="999579511">
                  <w:marLeft w:val="0"/>
                  <w:marRight w:val="0"/>
                  <w:marTop w:val="0"/>
                  <w:marBottom w:val="0"/>
                  <w:divBdr>
                    <w:top w:val="none" w:sz="0" w:space="0" w:color="auto"/>
                    <w:left w:val="none" w:sz="0" w:space="0" w:color="auto"/>
                    <w:bottom w:val="none" w:sz="0" w:space="0" w:color="auto"/>
                    <w:right w:val="none" w:sz="0" w:space="0" w:color="auto"/>
                  </w:divBdr>
                </w:div>
                <w:div w:id="20902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1152">
      <w:bodyDiv w:val="1"/>
      <w:marLeft w:val="0"/>
      <w:marRight w:val="0"/>
      <w:marTop w:val="0"/>
      <w:marBottom w:val="0"/>
      <w:divBdr>
        <w:top w:val="none" w:sz="0" w:space="0" w:color="auto"/>
        <w:left w:val="none" w:sz="0" w:space="0" w:color="auto"/>
        <w:bottom w:val="none" w:sz="0" w:space="0" w:color="auto"/>
        <w:right w:val="none" w:sz="0" w:space="0" w:color="auto"/>
      </w:divBdr>
    </w:div>
    <w:div w:id="1666085869">
      <w:bodyDiv w:val="1"/>
      <w:marLeft w:val="0"/>
      <w:marRight w:val="0"/>
      <w:marTop w:val="0"/>
      <w:marBottom w:val="0"/>
      <w:divBdr>
        <w:top w:val="none" w:sz="0" w:space="0" w:color="auto"/>
        <w:left w:val="none" w:sz="0" w:space="0" w:color="auto"/>
        <w:bottom w:val="none" w:sz="0" w:space="0" w:color="auto"/>
        <w:right w:val="none" w:sz="0" w:space="0" w:color="auto"/>
      </w:divBdr>
    </w:div>
    <w:div w:id="1723796187">
      <w:bodyDiv w:val="1"/>
      <w:marLeft w:val="0"/>
      <w:marRight w:val="0"/>
      <w:marTop w:val="0"/>
      <w:marBottom w:val="0"/>
      <w:divBdr>
        <w:top w:val="none" w:sz="0" w:space="0" w:color="auto"/>
        <w:left w:val="none" w:sz="0" w:space="0" w:color="auto"/>
        <w:bottom w:val="none" w:sz="0" w:space="0" w:color="auto"/>
        <w:right w:val="none" w:sz="0" w:space="0" w:color="auto"/>
      </w:divBdr>
      <w:divsChild>
        <w:div w:id="1410155130">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92897004">
      <w:bodyDiv w:val="1"/>
      <w:marLeft w:val="0"/>
      <w:marRight w:val="0"/>
      <w:marTop w:val="0"/>
      <w:marBottom w:val="0"/>
      <w:divBdr>
        <w:top w:val="none" w:sz="0" w:space="0" w:color="auto"/>
        <w:left w:val="none" w:sz="0" w:space="0" w:color="auto"/>
        <w:bottom w:val="none" w:sz="0" w:space="0" w:color="auto"/>
        <w:right w:val="none" w:sz="0" w:space="0" w:color="auto"/>
      </w:divBdr>
      <w:divsChild>
        <w:div w:id="510338827">
          <w:marLeft w:val="0"/>
          <w:marRight w:val="0"/>
          <w:marTop w:val="0"/>
          <w:marBottom w:val="0"/>
          <w:divBdr>
            <w:top w:val="none" w:sz="0" w:space="0" w:color="auto"/>
            <w:left w:val="none" w:sz="0" w:space="0" w:color="auto"/>
            <w:bottom w:val="none" w:sz="0" w:space="0" w:color="auto"/>
            <w:right w:val="none" w:sz="0" w:space="0" w:color="auto"/>
          </w:divBdr>
          <w:divsChild>
            <w:div w:id="1771273746">
              <w:marLeft w:val="0"/>
              <w:marRight w:val="0"/>
              <w:marTop w:val="0"/>
              <w:marBottom w:val="0"/>
              <w:divBdr>
                <w:top w:val="none" w:sz="0" w:space="0" w:color="auto"/>
                <w:left w:val="none" w:sz="0" w:space="0" w:color="auto"/>
                <w:bottom w:val="none" w:sz="0" w:space="0" w:color="auto"/>
                <w:right w:val="none" w:sz="0" w:space="0" w:color="auto"/>
              </w:divBdr>
              <w:divsChild>
                <w:div w:id="579873899">
                  <w:marLeft w:val="0"/>
                  <w:marRight w:val="0"/>
                  <w:marTop w:val="0"/>
                  <w:marBottom w:val="0"/>
                  <w:divBdr>
                    <w:top w:val="none" w:sz="0" w:space="0" w:color="auto"/>
                    <w:left w:val="none" w:sz="0" w:space="0" w:color="auto"/>
                    <w:bottom w:val="none" w:sz="0" w:space="0" w:color="auto"/>
                    <w:right w:val="none" w:sz="0" w:space="0" w:color="auto"/>
                  </w:divBdr>
                </w:div>
                <w:div w:id="250547507">
                  <w:marLeft w:val="0"/>
                  <w:marRight w:val="0"/>
                  <w:marTop w:val="0"/>
                  <w:marBottom w:val="0"/>
                  <w:divBdr>
                    <w:top w:val="none" w:sz="0" w:space="0" w:color="auto"/>
                    <w:left w:val="none" w:sz="0" w:space="0" w:color="auto"/>
                    <w:bottom w:val="none" w:sz="0" w:space="0" w:color="auto"/>
                    <w:right w:val="none" w:sz="0" w:space="0" w:color="auto"/>
                  </w:divBdr>
                </w:div>
                <w:div w:id="2075662535">
                  <w:marLeft w:val="0"/>
                  <w:marRight w:val="0"/>
                  <w:marTop w:val="0"/>
                  <w:marBottom w:val="0"/>
                  <w:divBdr>
                    <w:top w:val="none" w:sz="0" w:space="0" w:color="auto"/>
                    <w:left w:val="none" w:sz="0" w:space="0" w:color="auto"/>
                    <w:bottom w:val="none" w:sz="0" w:space="0" w:color="auto"/>
                    <w:right w:val="none" w:sz="0" w:space="0" w:color="auto"/>
                  </w:divBdr>
                </w:div>
                <w:div w:id="364907920">
                  <w:marLeft w:val="0"/>
                  <w:marRight w:val="0"/>
                  <w:marTop w:val="0"/>
                  <w:marBottom w:val="0"/>
                  <w:divBdr>
                    <w:top w:val="none" w:sz="0" w:space="0" w:color="auto"/>
                    <w:left w:val="none" w:sz="0" w:space="0" w:color="auto"/>
                    <w:bottom w:val="none" w:sz="0" w:space="0" w:color="auto"/>
                    <w:right w:val="none" w:sz="0" w:space="0" w:color="auto"/>
                  </w:divBdr>
                </w:div>
                <w:div w:id="1272712542">
                  <w:marLeft w:val="0"/>
                  <w:marRight w:val="0"/>
                  <w:marTop w:val="0"/>
                  <w:marBottom w:val="0"/>
                  <w:divBdr>
                    <w:top w:val="none" w:sz="0" w:space="0" w:color="auto"/>
                    <w:left w:val="none" w:sz="0" w:space="0" w:color="auto"/>
                    <w:bottom w:val="none" w:sz="0" w:space="0" w:color="auto"/>
                    <w:right w:val="none" w:sz="0" w:space="0" w:color="auto"/>
                  </w:divBdr>
                </w:div>
                <w:div w:id="1317345260">
                  <w:marLeft w:val="0"/>
                  <w:marRight w:val="0"/>
                  <w:marTop w:val="0"/>
                  <w:marBottom w:val="0"/>
                  <w:divBdr>
                    <w:top w:val="none" w:sz="0" w:space="0" w:color="auto"/>
                    <w:left w:val="none" w:sz="0" w:space="0" w:color="auto"/>
                    <w:bottom w:val="none" w:sz="0" w:space="0" w:color="auto"/>
                    <w:right w:val="none" w:sz="0" w:space="0" w:color="auto"/>
                  </w:divBdr>
                </w:div>
                <w:div w:id="1387141120">
                  <w:marLeft w:val="0"/>
                  <w:marRight w:val="0"/>
                  <w:marTop w:val="0"/>
                  <w:marBottom w:val="0"/>
                  <w:divBdr>
                    <w:top w:val="none" w:sz="0" w:space="0" w:color="auto"/>
                    <w:left w:val="none" w:sz="0" w:space="0" w:color="auto"/>
                    <w:bottom w:val="none" w:sz="0" w:space="0" w:color="auto"/>
                    <w:right w:val="none" w:sz="0" w:space="0" w:color="auto"/>
                  </w:divBdr>
                </w:div>
                <w:div w:id="1323581650">
                  <w:marLeft w:val="0"/>
                  <w:marRight w:val="0"/>
                  <w:marTop w:val="0"/>
                  <w:marBottom w:val="0"/>
                  <w:divBdr>
                    <w:top w:val="none" w:sz="0" w:space="0" w:color="auto"/>
                    <w:left w:val="none" w:sz="0" w:space="0" w:color="auto"/>
                    <w:bottom w:val="none" w:sz="0" w:space="0" w:color="auto"/>
                    <w:right w:val="none" w:sz="0" w:space="0" w:color="auto"/>
                  </w:divBdr>
                </w:div>
                <w:div w:id="1485586039">
                  <w:marLeft w:val="0"/>
                  <w:marRight w:val="0"/>
                  <w:marTop w:val="0"/>
                  <w:marBottom w:val="0"/>
                  <w:divBdr>
                    <w:top w:val="none" w:sz="0" w:space="0" w:color="auto"/>
                    <w:left w:val="none" w:sz="0" w:space="0" w:color="auto"/>
                    <w:bottom w:val="none" w:sz="0" w:space="0" w:color="auto"/>
                    <w:right w:val="none" w:sz="0" w:space="0" w:color="auto"/>
                  </w:divBdr>
                </w:div>
                <w:div w:id="111478778">
                  <w:marLeft w:val="0"/>
                  <w:marRight w:val="0"/>
                  <w:marTop w:val="0"/>
                  <w:marBottom w:val="0"/>
                  <w:divBdr>
                    <w:top w:val="none" w:sz="0" w:space="0" w:color="auto"/>
                    <w:left w:val="none" w:sz="0" w:space="0" w:color="auto"/>
                    <w:bottom w:val="none" w:sz="0" w:space="0" w:color="auto"/>
                    <w:right w:val="none" w:sz="0" w:space="0" w:color="auto"/>
                  </w:divBdr>
                </w:div>
                <w:div w:id="287592315">
                  <w:marLeft w:val="0"/>
                  <w:marRight w:val="0"/>
                  <w:marTop w:val="0"/>
                  <w:marBottom w:val="0"/>
                  <w:divBdr>
                    <w:top w:val="none" w:sz="0" w:space="0" w:color="auto"/>
                    <w:left w:val="none" w:sz="0" w:space="0" w:color="auto"/>
                    <w:bottom w:val="none" w:sz="0" w:space="0" w:color="auto"/>
                    <w:right w:val="none" w:sz="0" w:space="0" w:color="auto"/>
                  </w:divBdr>
                </w:div>
                <w:div w:id="1328633338">
                  <w:marLeft w:val="0"/>
                  <w:marRight w:val="0"/>
                  <w:marTop w:val="0"/>
                  <w:marBottom w:val="0"/>
                  <w:divBdr>
                    <w:top w:val="none" w:sz="0" w:space="0" w:color="auto"/>
                    <w:left w:val="none" w:sz="0" w:space="0" w:color="auto"/>
                    <w:bottom w:val="none" w:sz="0" w:space="0" w:color="auto"/>
                    <w:right w:val="none" w:sz="0" w:space="0" w:color="auto"/>
                  </w:divBdr>
                </w:div>
                <w:div w:id="2004240582">
                  <w:marLeft w:val="0"/>
                  <w:marRight w:val="0"/>
                  <w:marTop w:val="0"/>
                  <w:marBottom w:val="0"/>
                  <w:divBdr>
                    <w:top w:val="none" w:sz="0" w:space="0" w:color="auto"/>
                    <w:left w:val="none" w:sz="0" w:space="0" w:color="auto"/>
                    <w:bottom w:val="none" w:sz="0" w:space="0" w:color="auto"/>
                    <w:right w:val="none" w:sz="0" w:space="0" w:color="auto"/>
                  </w:divBdr>
                </w:div>
                <w:div w:id="2032756090">
                  <w:marLeft w:val="0"/>
                  <w:marRight w:val="0"/>
                  <w:marTop w:val="0"/>
                  <w:marBottom w:val="0"/>
                  <w:divBdr>
                    <w:top w:val="none" w:sz="0" w:space="0" w:color="auto"/>
                    <w:left w:val="none" w:sz="0" w:space="0" w:color="auto"/>
                    <w:bottom w:val="none" w:sz="0" w:space="0" w:color="auto"/>
                    <w:right w:val="none" w:sz="0" w:space="0" w:color="auto"/>
                  </w:divBdr>
                </w:div>
                <w:div w:id="332495422">
                  <w:marLeft w:val="0"/>
                  <w:marRight w:val="0"/>
                  <w:marTop w:val="0"/>
                  <w:marBottom w:val="0"/>
                  <w:divBdr>
                    <w:top w:val="none" w:sz="0" w:space="0" w:color="auto"/>
                    <w:left w:val="none" w:sz="0" w:space="0" w:color="auto"/>
                    <w:bottom w:val="none" w:sz="0" w:space="0" w:color="auto"/>
                    <w:right w:val="none" w:sz="0" w:space="0" w:color="auto"/>
                  </w:divBdr>
                </w:div>
                <w:div w:id="921111900">
                  <w:marLeft w:val="0"/>
                  <w:marRight w:val="0"/>
                  <w:marTop w:val="0"/>
                  <w:marBottom w:val="0"/>
                  <w:divBdr>
                    <w:top w:val="none" w:sz="0" w:space="0" w:color="auto"/>
                    <w:left w:val="none" w:sz="0" w:space="0" w:color="auto"/>
                    <w:bottom w:val="none" w:sz="0" w:space="0" w:color="auto"/>
                    <w:right w:val="none" w:sz="0" w:space="0" w:color="auto"/>
                  </w:divBdr>
                </w:div>
                <w:div w:id="357583664">
                  <w:marLeft w:val="0"/>
                  <w:marRight w:val="0"/>
                  <w:marTop w:val="0"/>
                  <w:marBottom w:val="0"/>
                  <w:divBdr>
                    <w:top w:val="none" w:sz="0" w:space="0" w:color="auto"/>
                    <w:left w:val="none" w:sz="0" w:space="0" w:color="auto"/>
                    <w:bottom w:val="none" w:sz="0" w:space="0" w:color="auto"/>
                    <w:right w:val="none" w:sz="0" w:space="0" w:color="auto"/>
                  </w:divBdr>
                </w:div>
                <w:div w:id="372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90336016">
      <w:bodyDiv w:val="1"/>
      <w:marLeft w:val="0"/>
      <w:marRight w:val="0"/>
      <w:marTop w:val="0"/>
      <w:marBottom w:val="0"/>
      <w:divBdr>
        <w:top w:val="none" w:sz="0" w:space="0" w:color="auto"/>
        <w:left w:val="none" w:sz="0" w:space="0" w:color="auto"/>
        <w:bottom w:val="none" w:sz="0" w:space="0" w:color="auto"/>
        <w:right w:val="none" w:sz="0" w:space="0" w:color="auto"/>
      </w:divBdr>
      <w:divsChild>
        <w:div w:id="1121805633">
          <w:marLeft w:val="0"/>
          <w:marRight w:val="0"/>
          <w:marTop w:val="0"/>
          <w:marBottom w:val="0"/>
          <w:divBdr>
            <w:top w:val="none" w:sz="0" w:space="0" w:color="auto"/>
            <w:left w:val="none" w:sz="0" w:space="0" w:color="auto"/>
            <w:bottom w:val="none" w:sz="0" w:space="0" w:color="auto"/>
            <w:right w:val="none" w:sz="0" w:space="0" w:color="auto"/>
          </w:divBdr>
          <w:divsChild>
            <w:div w:id="1128861145">
              <w:marLeft w:val="0"/>
              <w:marRight w:val="0"/>
              <w:marTop w:val="0"/>
              <w:marBottom w:val="0"/>
              <w:divBdr>
                <w:top w:val="none" w:sz="0" w:space="0" w:color="auto"/>
                <w:left w:val="none" w:sz="0" w:space="0" w:color="auto"/>
                <w:bottom w:val="none" w:sz="0" w:space="0" w:color="auto"/>
                <w:right w:val="none" w:sz="0" w:space="0" w:color="auto"/>
              </w:divBdr>
              <w:divsChild>
                <w:div w:id="1724021443">
                  <w:marLeft w:val="0"/>
                  <w:marRight w:val="0"/>
                  <w:marTop w:val="0"/>
                  <w:marBottom w:val="0"/>
                  <w:divBdr>
                    <w:top w:val="none" w:sz="0" w:space="0" w:color="auto"/>
                    <w:left w:val="none" w:sz="0" w:space="0" w:color="auto"/>
                    <w:bottom w:val="none" w:sz="0" w:space="0" w:color="auto"/>
                    <w:right w:val="none" w:sz="0" w:space="0" w:color="auto"/>
                  </w:divBdr>
                  <w:divsChild>
                    <w:div w:id="17530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3149">
          <w:marLeft w:val="0"/>
          <w:marRight w:val="0"/>
          <w:marTop w:val="0"/>
          <w:marBottom w:val="0"/>
          <w:divBdr>
            <w:top w:val="none" w:sz="0" w:space="0" w:color="auto"/>
            <w:left w:val="none" w:sz="0" w:space="0" w:color="auto"/>
            <w:bottom w:val="none" w:sz="0" w:space="0" w:color="auto"/>
            <w:right w:val="none" w:sz="0" w:space="0" w:color="auto"/>
          </w:divBdr>
          <w:divsChild>
            <w:div w:id="1466004770">
              <w:marLeft w:val="0"/>
              <w:marRight w:val="0"/>
              <w:marTop w:val="0"/>
              <w:marBottom w:val="0"/>
              <w:divBdr>
                <w:top w:val="none" w:sz="0" w:space="0" w:color="auto"/>
                <w:left w:val="none" w:sz="0" w:space="0" w:color="auto"/>
                <w:bottom w:val="none" w:sz="0" w:space="0" w:color="auto"/>
                <w:right w:val="none" w:sz="0" w:space="0" w:color="auto"/>
              </w:divBdr>
              <w:divsChild>
                <w:div w:id="437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944C8A58-4544-4653-864F-30393ACF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55ec7a1c-057c-4dea-8630-a1f7b19059e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3769</Words>
  <Characters>22716</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SFM-01-23-IET-PT3</vt:lpstr>
    </vt:vector>
  </TitlesOfParts>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SFM-01-23-IET-PT3</dc:title>
  <dc:creator>CBSC</dc:creator>
  <cp:lastModifiedBy>Martin, Tom@DGS</cp:lastModifiedBy>
  <cp:revision>5</cp:revision>
  <cp:lastPrinted>2020-02-18T23:46:00Z</cp:lastPrinted>
  <dcterms:created xsi:type="dcterms:W3CDTF">2024-08-26T19:15:00Z</dcterms:created>
  <dcterms:modified xsi:type="dcterms:W3CDTF">2024-10-08T17:10:00Z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9ed8dce39e97a56be2f7f7c6d29a52680d55dc3e91efc1b1a37af845a46e5b69</vt:lpwstr>
  </property>
</Properties>
</file>