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3A1AA4F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="000F4F3E">
        <w:t>–</w:t>
      </w:r>
      <w:r w:rsidR="00FE51F5">
        <w:t xml:space="preserve"> </w:t>
      </w:r>
      <w:r w:rsidR="003870E5">
        <w:t>YELLOW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</w:t>
      </w:r>
      <w:r w:rsidR="00620C5C" w:rsidRPr="00620C5C">
        <w:t>CODE ADVISORY COMMITTEE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AB9AA52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387003">
        <w:rPr>
          <w:noProof/>
        </w:rPr>
        <w:t>1</w:t>
      </w:r>
      <w:r w:rsidR="00620C5C">
        <w:rPr>
          <w:noProof/>
        </w:rPr>
        <w:br/>
      </w:r>
      <w:r w:rsidR="00FB3CA6" w:rsidRPr="00AD67B3">
        <w:t xml:space="preserve">Chapter </w:t>
      </w:r>
      <w:r w:rsidR="00387003">
        <w:rPr>
          <w:noProof/>
        </w:rPr>
        <w:t>11A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387003">
        <w:rPr>
          <w:noProof/>
        </w:rPr>
        <w:t>1101A.1 Scope, Section 1102A.1</w:t>
      </w:r>
      <w:r w:rsidR="00466D12">
        <w:rPr>
          <w:noProof/>
        </w:rPr>
        <w:t xml:space="preserve"> where required</w:t>
      </w:r>
    </w:p>
    <w:p w14:paraId="193FE7A9" w14:textId="2A28E204" w:rsidR="00FB3CA6" w:rsidRDefault="00466D12" w:rsidP="00602858">
      <w:r>
        <w:t xml:space="preserve">Carry forward existing Chapter 11A California amendments from the 2022 CBC into the 2025 CBC with modifications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007FFA59" w:rsidR="00FB3CA6" w:rsidRPr="00DF33F2" w:rsidRDefault="0038700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 xml:space="preserve">1-AC </w:t>
            </w:r>
            <w:r>
              <w:rPr>
                <w:b/>
                <w:bCs/>
              </w:rPr>
              <w:t>01/24</w:t>
            </w:r>
            <w:r w:rsidR="000E7754"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2E19761C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0C1A77E5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6F9BAB81" w:rsidR="003870E5" w:rsidRPr="00387003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 w:rsidRPr="00387003"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B1F1FDA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E95F3AA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818544" w14:textId="77777777" w:rsidR="006F7B57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77D1EF56" w14:textId="5A338AFD" w:rsidR="002E064D" w:rsidRPr="006E593B" w:rsidRDefault="002E064D" w:rsidP="003870E5">
            <w:pPr>
              <w:spacing w:after="0"/>
            </w:pPr>
            <w:r>
              <w:t xml:space="preserve">Kendra Muller, </w:t>
            </w:r>
            <w:r w:rsidR="000F4F3E" w:rsidRPr="000F4F3E">
              <w:t>Disability Rights California (DRC)</w:t>
            </w:r>
            <w:r>
              <w:t xml:space="preserve"> – Recommendation: </w:t>
            </w:r>
            <w:r w:rsidR="00E14F61">
              <w:t>Disapprove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16F12AB" w14:textId="77777777" w:rsidR="003870E5" w:rsidRDefault="003870E5" w:rsidP="000F4F3E">
            <w:r>
              <w:t>HCD proposes to remove references to 11A from this section in relation to public housing.  DSA adopts requirements for public housing in Chapter 11B.</w:t>
            </w:r>
          </w:p>
          <w:p w14:paraId="4BD7BA91" w14:textId="7D2C1B42" w:rsidR="000F4F3E" w:rsidRDefault="000F4F3E" w:rsidP="003870E5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870E5" w:rsidRPr="001E3316" w14:paraId="67DAC011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235E03BE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11A146FB" w:rsidR="003870E5" w:rsidRPr="00387003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1102A.1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6ECCDF56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B8B25FD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6631E0" w14:textId="7D4CE0F5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5B97A5DF" w14:textId="081D01D4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Disapprove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2CD5F83" w14:textId="77777777" w:rsidR="003870E5" w:rsidRDefault="003870E5" w:rsidP="000F4F3E">
            <w:r>
              <w:t>HCD proposes to remove references to 11A from this section in relation to public housing.  DSA adopts requirements for public housing in Chapter 11B.</w:t>
            </w:r>
          </w:p>
          <w:p w14:paraId="63C33267" w14:textId="64568D5D" w:rsidR="003870E5" w:rsidRDefault="000F4F3E" w:rsidP="003870E5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3A497B" w14:textId="77777777" w:rsidR="00925553" w:rsidRDefault="00925553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39667A8" w14:textId="02602015" w:rsidR="00387003" w:rsidRPr="00AD67B3" w:rsidRDefault="00387003" w:rsidP="00466D1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466D12">
        <w:rPr>
          <w:noProof/>
        </w:rPr>
        <w:t>3</w:t>
      </w:r>
      <w:r w:rsidR="00620C5C">
        <w:rPr>
          <w:noProof/>
        </w:rPr>
        <w:br/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1115A.6</w:t>
      </w:r>
      <w:r w:rsidR="00210A55">
        <w:rPr>
          <w:noProof/>
        </w:rPr>
        <w:t xml:space="preserve"> </w:t>
      </w:r>
      <w:r w:rsidR="001F6A68">
        <w:rPr>
          <w:noProof/>
        </w:rPr>
        <w:t>E</w:t>
      </w:r>
      <w:r w:rsidR="00210A55">
        <w:rPr>
          <w:noProof/>
        </w:rPr>
        <w:t xml:space="preserve">xterior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0D5E17C8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9B4A006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E2A2A88" w14:textId="78628785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466D12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2AE87B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9A197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CF4F0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17C23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482AF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9EC33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4545E52E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6BEE1C" w14:textId="1830A279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620C5C">
              <w:rPr>
                <w:b/>
                <w:bCs/>
              </w:rP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9A592D" w14:textId="564DCFA0" w:rsidR="003870E5" w:rsidRPr="00466D12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1115A.6.1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BE53F" w14:textId="2AD9525A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67551" w14:textId="08D144F3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7A9DDB" w14:textId="55CB9B83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0B7F9B44" w14:textId="72858948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F11A7F6" w14:textId="77777777" w:rsidR="003870E5" w:rsidRDefault="003870E5" w:rsidP="000F4F3E">
            <w:r>
              <w:t>HCD proposes to update referenced section number.</w:t>
            </w:r>
          </w:p>
          <w:p w14:paraId="3974367A" w14:textId="1365814E" w:rsidR="000F4F3E" w:rsidRDefault="000F4F3E" w:rsidP="003870E5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AB7B1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CCF4B0" w14:textId="6545CA57" w:rsidR="00387003" w:rsidRPr="00AD67B3" w:rsidRDefault="00387003" w:rsidP="00210A55">
      <w:pPr>
        <w:pStyle w:val="Heading3"/>
        <w:spacing w:before="240"/>
        <w:rPr>
          <w:noProof/>
        </w:rPr>
      </w:pPr>
      <w:r>
        <w:t xml:space="preserve">ITEM </w:t>
      </w:r>
      <w:r w:rsidR="00210A55">
        <w:rPr>
          <w:noProof/>
        </w:rPr>
        <w:t>6</w:t>
      </w:r>
      <w:r w:rsidR="00620C5C">
        <w:rPr>
          <w:noProof/>
        </w:rPr>
        <w:br/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1123</w:t>
      </w:r>
      <w:r w:rsidR="000A4597">
        <w:rPr>
          <w:noProof/>
        </w:rPr>
        <w:t>A</w:t>
      </w:r>
      <w:r w:rsidR="00210A55">
        <w:rPr>
          <w:noProof/>
        </w:rPr>
        <w:t xml:space="preserve">.6 </w:t>
      </w:r>
      <w:r w:rsidR="001F6A68">
        <w:rPr>
          <w:noProof/>
        </w:rPr>
        <w:t>I</w:t>
      </w:r>
      <w:r w:rsidR="00210A55">
        <w:rPr>
          <w:noProof/>
        </w:rPr>
        <w:t xml:space="preserve">nterior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1AD3FEBF" w14:textId="09E4E9D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7FD2D145" w14:textId="77777777" w:rsidTr="0028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1E0B410" w14:textId="66989DDF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="00620C5C" w:rsidRPr="00DF33F2">
              <w:rPr>
                <w:b/>
                <w:bCs/>
              </w:rPr>
              <w:t>I</w:t>
            </w:r>
            <w:r w:rsidR="00620C5C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 w:rsidR="00210A55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468990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2E1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59998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E63691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C2A4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38BD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E5" w:rsidRPr="001E3316" w14:paraId="3EB34238" w14:textId="77777777" w:rsidTr="0028079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B34252" w14:textId="623CEC2A" w:rsidR="003870E5" w:rsidRPr="00620C5C" w:rsidRDefault="003870E5" w:rsidP="003870E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620C5C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04202D" w14:textId="4B93ED13" w:rsidR="003870E5" w:rsidRPr="00210A55" w:rsidRDefault="003870E5" w:rsidP="003870E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1123A.6.1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336C4" w14:textId="12F1AFA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8BD91" w14:textId="24453943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42D639" w14:textId="26884BAB" w:rsidR="003870E5" w:rsidRDefault="003870E5" w:rsidP="003870E5">
            <w:pPr>
              <w:spacing w:after="0"/>
            </w:pPr>
            <w:r w:rsidRPr="00E31B93">
              <w:rPr>
                <w:b/>
                <w:bCs/>
              </w:rPr>
              <w:t>45-Day Public Comment</w:t>
            </w:r>
            <w:r>
              <w:t xml:space="preserve">: </w:t>
            </w:r>
          </w:p>
          <w:p w14:paraId="323D3EA4" w14:textId="30A378C7" w:rsidR="002E064D" w:rsidRPr="006E593B" w:rsidRDefault="002E064D" w:rsidP="003870E5">
            <w:pPr>
              <w:spacing w:after="0"/>
            </w:pPr>
            <w:r>
              <w:t xml:space="preserve">Kendra Muller, DRC – Recommendation: </w:t>
            </w:r>
            <w:r w:rsidR="00E14F61">
              <w:t>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00BFE9" w14:textId="77777777" w:rsidR="003870E5" w:rsidRDefault="003870E5" w:rsidP="000F4F3E">
            <w:r>
              <w:t>HCD proposes to update referenced section number.</w:t>
            </w:r>
          </w:p>
          <w:p w14:paraId="7298E0AF" w14:textId="31CF30ED" w:rsidR="000F4F3E" w:rsidRPr="00925553" w:rsidRDefault="000F4F3E" w:rsidP="003870E5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081DF" w14:textId="77777777" w:rsidR="003870E5" w:rsidRPr="00666DBB" w:rsidRDefault="003870E5" w:rsidP="003870E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E99D30" w14:textId="77777777" w:rsidR="00387003" w:rsidRDefault="00387003" w:rsidP="00737C08"/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6C6D3" w14:textId="77777777" w:rsidR="00537409" w:rsidRDefault="00537409" w:rsidP="00EA4D4E">
      <w:pPr>
        <w:spacing w:after="0"/>
      </w:pPr>
      <w:r>
        <w:separator/>
      </w:r>
    </w:p>
  </w:endnote>
  <w:endnote w:type="continuationSeparator" w:id="0">
    <w:p w14:paraId="43AC9611" w14:textId="77777777" w:rsidR="00537409" w:rsidRDefault="0053740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B16756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14F61">
      <w:rPr>
        <w:rFonts w:cs="Arial"/>
      </w:rPr>
      <w:t>December 1</w:t>
    </w:r>
    <w:r w:rsidR="00737C08">
      <w:rPr>
        <w:rFonts w:cs="Arial"/>
      </w:rPr>
      <w:t>2</w:t>
    </w:r>
    <w:r w:rsidR="00E14F61">
      <w:rPr>
        <w:rFonts w:cs="Arial"/>
      </w:rPr>
      <w:t>, 2024</w:t>
    </w:r>
  </w:p>
  <w:p w14:paraId="1802EBAA" w14:textId="4CA74A71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20C5C">
      <w:rPr>
        <w:rFonts w:cs="Arial"/>
      </w:rPr>
      <w:t xml:space="preserve"> </w:t>
    </w:r>
    <w:r w:rsidR="003870E5">
      <w:rPr>
        <w:rFonts w:cs="Arial"/>
      </w:rPr>
      <w:t>Yellow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E3E" w14:textId="77777777" w:rsidR="00537409" w:rsidRDefault="00537409" w:rsidP="00EA4D4E">
      <w:pPr>
        <w:spacing w:after="0"/>
      </w:pPr>
      <w:r>
        <w:separator/>
      </w:r>
    </w:p>
  </w:footnote>
  <w:footnote w:type="continuationSeparator" w:id="0">
    <w:p w14:paraId="5917B9A1" w14:textId="77777777" w:rsidR="00537409" w:rsidRDefault="0053740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F82"/>
    <w:rsid w:val="00063C1B"/>
    <w:rsid w:val="00085795"/>
    <w:rsid w:val="000A4597"/>
    <w:rsid w:val="000C3719"/>
    <w:rsid w:val="000D2800"/>
    <w:rsid w:val="000E7754"/>
    <w:rsid w:val="000F1801"/>
    <w:rsid w:val="000F4F3E"/>
    <w:rsid w:val="0016159A"/>
    <w:rsid w:val="001728E8"/>
    <w:rsid w:val="001C4EEA"/>
    <w:rsid w:val="001F6A68"/>
    <w:rsid w:val="00205E17"/>
    <w:rsid w:val="00207E89"/>
    <w:rsid w:val="00210A55"/>
    <w:rsid w:val="00234734"/>
    <w:rsid w:val="0028079F"/>
    <w:rsid w:val="002E064D"/>
    <w:rsid w:val="00342005"/>
    <w:rsid w:val="0035445F"/>
    <w:rsid w:val="00367CF0"/>
    <w:rsid w:val="00380D28"/>
    <w:rsid w:val="00387003"/>
    <w:rsid w:val="003870E5"/>
    <w:rsid w:val="003B1C3C"/>
    <w:rsid w:val="003B609F"/>
    <w:rsid w:val="003C01F7"/>
    <w:rsid w:val="003E19BB"/>
    <w:rsid w:val="00424013"/>
    <w:rsid w:val="00446AA0"/>
    <w:rsid w:val="0045774F"/>
    <w:rsid w:val="00462615"/>
    <w:rsid w:val="00466D12"/>
    <w:rsid w:val="004854EE"/>
    <w:rsid w:val="00487077"/>
    <w:rsid w:val="00496121"/>
    <w:rsid w:val="005107D5"/>
    <w:rsid w:val="00537409"/>
    <w:rsid w:val="00595B4C"/>
    <w:rsid w:val="005A7B1E"/>
    <w:rsid w:val="005B066B"/>
    <w:rsid w:val="005E44F6"/>
    <w:rsid w:val="00602858"/>
    <w:rsid w:val="00620C5C"/>
    <w:rsid w:val="00630508"/>
    <w:rsid w:val="00666DBB"/>
    <w:rsid w:val="006C163E"/>
    <w:rsid w:val="006C5969"/>
    <w:rsid w:val="006F7B57"/>
    <w:rsid w:val="007065B0"/>
    <w:rsid w:val="00714133"/>
    <w:rsid w:val="00715553"/>
    <w:rsid w:val="0072026C"/>
    <w:rsid w:val="00737C08"/>
    <w:rsid w:val="007A33A4"/>
    <w:rsid w:val="007A7AB9"/>
    <w:rsid w:val="007E7406"/>
    <w:rsid w:val="0083280A"/>
    <w:rsid w:val="00843EE8"/>
    <w:rsid w:val="00864D4F"/>
    <w:rsid w:val="00867C04"/>
    <w:rsid w:val="008732B2"/>
    <w:rsid w:val="00876DB7"/>
    <w:rsid w:val="00897C8A"/>
    <w:rsid w:val="008E2CD2"/>
    <w:rsid w:val="008F2B9E"/>
    <w:rsid w:val="00925553"/>
    <w:rsid w:val="009D3118"/>
    <w:rsid w:val="009D7C5B"/>
    <w:rsid w:val="009F20AC"/>
    <w:rsid w:val="00A31878"/>
    <w:rsid w:val="00A90373"/>
    <w:rsid w:val="00AF03E0"/>
    <w:rsid w:val="00B024FD"/>
    <w:rsid w:val="00BA6306"/>
    <w:rsid w:val="00BB3393"/>
    <w:rsid w:val="00BC58CD"/>
    <w:rsid w:val="00BD6C6A"/>
    <w:rsid w:val="00BE4866"/>
    <w:rsid w:val="00BF4F8C"/>
    <w:rsid w:val="00C10D9F"/>
    <w:rsid w:val="00C152A8"/>
    <w:rsid w:val="00C40C71"/>
    <w:rsid w:val="00D34669"/>
    <w:rsid w:val="00D86E67"/>
    <w:rsid w:val="00DB4C62"/>
    <w:rsid w:val="00DF33F2"/>
    <w:rsid w:val="00DF40CA"/>
    <w:rsid w:val="00E046DA"/>
    <w:rsid w:val="00E14F61"/>
    <w:rsid w:val="00E15B76"/>
    <w:rsid w:val="00E42E3A"/>
    <w:rsid w:val="00E67FA5"/>
    <w:rsid w:val="00EA4D4E"/>
    <w:rsid w:val="00EB63E1"/>
    <w:rsid w:val="00F51103"/>
    <w:rsid w:val="00F56128"/>
    <w:rsid w:val="00FB3CA6"/>
    <w:rsid w:val="00FC26C0"/>
    <w:rsid w:val="00FE265D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5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5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1-AC-01/24-CAM-PT2-Green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1-AC-01/24-CAM-PT2-Yellow</dc:title>
  <dc:subject/>
  <dc:creator>Brauzman, Irina@DGS</dc:creator>
  <cp:keywords/>
  <dc:description/>
  <cp:lastModifiedBy>Brauzman, Irina@DGS</cp:lastModifiedBy>
  <cp:revision>13</cp:revision>
  <cp:lastPrinted>2024-05-23T23:07:00Z</cp:lastPrinted>
  <dcterms:created xsi:type="dcterms:W3CDTF">2024-07-19T20:20:00Z</dcterms:created>
  <dcterms:modified xsi:type="dcterms:W3CDTF">2024-12-13T00:48:00Z</dcterms:modified>
</cp:coreProperties>
</file>