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8FDF" w14:textId="77777777" w:rsidR="006731FB" w:rsidRPr="006731FB" w:rsidRDefault="006731FB" w:rsidP="006731FB">
      <w:pPr>
        <w:spacing w:after="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 w:rsidRPr="006731FB"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APPROVED BY THE CALIFORNIA BUILDING STANDARDS COMMISSION</w:t>
      </w:r>
    </w:p>
    <w:p w14:paraId="145E51C7" w14:textId="5FAD7A2C" w:rsidR="006731FB" w:rsidRPr="006731FB" w:rsidRDefault="006731FB" w:rsidP="006731FB">
      <w:pPr>
        <w:spacing w:after="8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FEBRUARY 26, 2025</w:t>
      </w:r>
    </w:p>
    <w:p w14:paraId="38DC30C0" w14:textId="0C35283C" w:rsidR="007A0472" w:rsidRPr="007A0472" w:rsidRDefault="00E67FA5" w:rsidP="007A0472">
      <w:pPr>
        <w:pStyle w:val="Heading1"/>
      </w:pPr>
      <w:r w:rsidRPr="007A0472">
        <w:t>COMMISSION ACTION MATRIX</w:t>
      </w:r>
      <w:r w:rsidR="007A0472">
        <w:br/>
      </w:r>
      <w:r w:rsidR="00C14E68">
        <w:t>STRUCTURAL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7539013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Pr="00345437">
        <w:t>CALIFORNIA BUILDING STANDARDS COMMISSION</w:t>
      </w:r>
      <w:r>
        <w:t xml:space="preserve">, BSC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1476151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3E76A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FB3CA6" w:rsidRPr="001E3316" w14:paraId="7BC6D3D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19F8B607" w:rsidR="008415A0" w:rsidRPr="00DF33F2" w:rsidRDefault="00C31AE5" w:rsidP="008415A0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0E73602A" w:rsidR="00451E70" w:rsidRPr="00666DBB" w:rsidRDefault="00E064A4" w:rsidP="00451E70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A0D0179" w:rsidR="00451E70" w:rsidRPr="00666DBB" w:rsidRDefault="00E71F81" w:rsidP="00451E70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30F49A5" w:rsidR="00451E70" w:rsidRPr="006E593B" w:rsidRDefault="00CD275E" w:rsidP="00451E70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029D1243" w:rsidR="00451E70" w:rsidRPr="00666DBB" w:rsidRDefault="00EA060D" w:rsidP="00451E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67DAC01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011A0804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1-2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33C3F" w14:textId="78FD786F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04832B6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B60B5F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97A5DF" w14:textId="28A69700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3C33267" w14:textId="4CED11B9" w:rsidR="00EA060D" w:rsidRDefault="00EA060D" w:rsidP="00EA060D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>move one sentence from the middle to the end of the section adding BSC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3CD2335C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9519D73" w14:textId="77777777" w:rsidR="00336254" w:rsidRDefault="00336254" w:rsidP="00336254"/>
    <w:p w14:paraId="4FAF1645" w14:textId="77777777" w:rsidR="00336254" w:rsidRDefault="00336254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275CEE55" w14:textId="0B1214A8" w:rsidR="00630C31" w:rsidRPr="00AD67B3" w:rsidRDefault="00630C31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2</w:t>
      </w:r>
      <w:r w:rsidR="003E76AA">
        <w:rPr>
          <w:noProof/>
        </w:rPr>
        <w:br/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37F98695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1FACE655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5BBE61CD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12644240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3724850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1830CEB9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71F8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07088203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DB5C1AA" w14:textId="39D6FC18" w:rsidR="00EA060D" w:rsidRDefault="00EA060D" w:rsidP="00EA060D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58A9EB8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785203" w14:textId="77777777" w:rsidR="009E240E" w:rsidRDefault="009E240E" w:rsidP="00450D2A"/>
    <w:p w14:paraId="403E04DE" w14:textId="6CFFEEC8" w:rsidR="00630C31" w:rsidRPr="00AD67B3" w:rsidRDefault="00630C31" w:rsidP="00630C31">
      <w:pPr>
        <w:pStyle w:val="Heading3"/>
        <w:rPr>
          <w:noProof/>
        </w:rPr>
      </w:pPr>
      <w:r>
        <w:t xml:space="preserve">ITEM </w:t>
      </w:r>
      <w:r>
        <w:rPr>
          <w:noProof/>
        </w:rPr>
        <w:t>3</w:t>
      </w:r>
      <w:r w:rsidR="003E76AA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22EFB327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>Sections 301.1.1, 302.5, 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5FDCAD6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1F7ADF82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48D4C050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A65D07D" w:rsidR="00EA060D" w:rsidRPr="009E77DA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0F1128E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722CFE7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63661166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7DD9604" w14:textId="048FE351" w:rsidR="00EA060D" w:rsidRDefault="00EA060D" w:rsidP="00EA060D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1F0BEC97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6BCB2A4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621A2027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EEB04EB" w:rsidR="00EA060D" w:rsidRPr="00540053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2059FB7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432C0AE7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5DB66D30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5DA2E4F" w14:textId="7C0B6FA9" w:rsidR="00EA060D" w:rsidRDefault="00EA060D" w:rsidP="00EA060D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Editorial amendments of </w:t>
            </w:r>
            <w:r w:rsidRPr="00641D48">
              <w:t>Footnote #1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77C3748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705D647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1F50742D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3710886D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0BAB25C0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A87C34C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8FCF5CD" w14:textId="5EE16331" w:rsidR="00EA060D" w:rsidRDefault="00EA060D" w:rsidP="00EA060D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20596B2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74C80E1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6C85AD6C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20BB7BA" w14:textId="4E90E6FA" w:rsidR="00EA060D" w:rsidRPr="00D7774D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BSE-C </w:t>
            </w:r>
            <w:r w:rsidRPr="00540053">
              <w:rPr>
                <w:rFonts w:cs="Arial"/>
                <w:b/>
                <w:bCs/>
                <w:noProof/>
                <w:szCs w:val="24"/>
              </w:rPr>
              <w:t>and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</w:t>
            </w:r>
            <w:r w:rsidRPr="001F1C19">
              <w:rPr>
                <w:rFonts w:cs="Arial"/>
                <w:b/>
                <w:i/>
                <w:iCs/>
                <w:szCs w:val="24"/>
              </w:rPr>
              <w:t>BSE-R</w:t>
            </w: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RESPONSE ACCELERATION PARAMETERS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104E9E09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5B83A" w14:textId="3FD3E47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95ECB" w14:textId="055C13EE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B063D6D" w14:textId="3D876B01" w:rsidR="00EA060D" w:rsidRDefault="00EA060D" w:rsidP="00EA060D">
            <w:pPr>
              <w:spacing w:after="0"/>
            </w:pPr>
            <w:r>
              <w:t>R</w:t>
            </w:r>
            <w:r w:rsidRPr="00641D48">
              <w:t>evise referenced ASCE 41 section numbers to coordinate with changes made in 2023 edition of ASCE 41.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216FAAF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1F4C942E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331169F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77D33" w14:textId="3EF02EB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5B064F" w14:textId="3875325B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650DFD68" w14:textId="5802E715" w:rsidR="00EA060D" w:rsidRDefault="00EA060D" w:rsidP="00EA060D">
            <w:pPr>
              <w:spacing w:after="0"/>
            </w:pPr>
            <w:r>
              <w:t>U</w:t>
            </w:r>
            <w:r w:rsidRPr="00630C31">
              <w:t>pdate the referenced code in Exception #1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53FF186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382F6A79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EA060D" w:rsidRPr="00D7774D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3E1B8A3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E6DBC" w14:textId="1F3C6CD6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4AF18" w14:textId="03199CF0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FE17D7" w14:textId="362215AA" w:rsidR="00EA060D" w:rsidRDefault="00EA060D" w:rsidP="00EA060D">
            <w:pPr>
              <w:spacing w:after="0"/>
            </w:pPr>
            <w:r>
              <w:t>Revise</w:t>
            </w:r>
            <w:r w:rsidRPr="00641D48">
              <w:t xml:space="preserve"> reference to particular ASCE 41 </w:t>
            </w:r>
            <w:proofErr w:type="gramStart"/>
            <w:r w:rsidRPr="00641D48">
              <w:t>section</w:t>
            </w:r>
            <w:proofErr w:type="gramEnd"/>
            <w:r>
              <w:t xml:space="preserve"> to be more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7C59051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1E11C18A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EA060D" w:rsidRPr="00B52499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419142A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031C1" w14:textId="6C27FF1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16C38" w14:textId="08A6486E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8314F2D" w14:textId="00D8FFF2" w:rsidR="00EA060D" w:rsidRDefault="00EA060D" w:rsidP="00EA060D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7E25D22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3A7C56E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EA060D" w:rsidRPr="00F02603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1BBC2FD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F519CD" w14:textId="557316A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0508E1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BCF7A" w14:textId="6E356200" w:rsidR="00EA060D" w:rsidRPr="006E593B" w:rsidRDefault="00EA060D" w:rsidP="00EA060D">
            <w:pPr>
              <w:spacing w:after="0"/>
            </w:pPr>
            <w:r w:rsidRPr="007E4BA9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C5FBD5D" w14:textId="77777777" w:rsidR="00EA060D" w:rsidRDefault="00EA060D" w:rsidP="00EA060D"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  <w:p w14:paraId="02BFFD2A" w14:textId="77777777" w:rsidR="00EA060D" w:rsidRDefault="00EA060D" w:rsidP="00EA060D">
            <w:r w:rsidRPr="00E064A4">
              <w:rPr>
                <w:b/>
                <w:bCs/>
              </w:rPr>
              <w:t xml:space="preserve">CAC: </w:t>
            </w:r>
            <w:r w:rsidRPr="00E064A4">
              <w:t xml:space="preserve">Further Study Required </w:t>
            </w:r>
            <w:r>
              <w:t xml:space="preserve">under criteria #6. </w:t>
            </w:r>
          </w:p>
          <w:p w14:paraId="7983347D" w14:textId="0C857D0D" w:rsidR="00EA060D" w:rsidRDefault="00EA060D" w:rsidP="00EA060D">
            <w:pPr>
              <w:spacing w:after="0"/>
            </w:pPr>
            <w:r w:rsidRPr="00BA4410">
              <w:rPr>
                <w:b/>
                <w:bCs/>
              </w:rPr>
              <w:t xml:space="preserve">After CAC: </w:t>
            </w:r>
            <w:r w:rsidRPr="00BA4410">
              <w:t>BSC revised the proposed amendment in Section 319.7 per CAC recommendation.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0BFBC0A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8E0604" w14:textId="0009339B" w:rsidR="00630C31" w:rsidRPr="00AD67B3" w:rsidRDefault="00630C31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 w:rsidR="003E76AA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4ABE6085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Pr="00630C31">
        <w:rPr>
          <w:rFonts w:cs="Arial"/>
          <w:szCs w:val="24"/>
        </w:rPr>
        <w:t>401.1.1, 401.3, 405.2.6, 406.1, 407.1, 408.1 and 408.2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630C31" w:rsidRPr="001E3316" w14:paraId="03E36CF8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333DD316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1830C50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5946F567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581CBD">
              <w:rPr>
                <w:rFonts w:cs="Arial"/>
                <w:b/>
                <w:bCs/>
                <w:szCs w:val="24"/>
              </w:rPr>
              <w:t>401.1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7CB6099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426D17C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1F73BF51" w:rsidR="00EA060D" w:rsidRPr="006E593B" w:rsidRDefault="00EA060D" w:rsidP="00EA060D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0E74FCF" w14:textId="425F8490" w:rsidR="00EA060D" w:rsidRDefault="00EA060D" w:rsidP="00EA060D">
            <w:pPr>
              <w:spacing w:after="0"/>
            </w:pPr>
            <w:r>
              <w:t>R</w:t>
            </w:r>
            <w:r w:rsidRPr="00C25ACC">
              <w:t>emove reference to Chapter 12 of 202</w:t>
            </w:r>
            <w:r>
              <w:t>4</w:t>
            </w:r>
            <w:r w:rsidRPr="00C25ACC">
              <w:t xml:space="preserve"> IEBC </w:t>
            </w:r>
            <w:r>
              <w:t xml:space="preserve">and refer to </w:t>
            </w:r>
            <w:r w:rsidRPr="00C25ACC">
              <w:t xml:space="preserve">the </w:t>
            </w:r>
            <w:r w:rsidRPr="00AB3689">
              <w:rPr>
                <w:rFonts w:cs="Arial"/>
                <w:szCs w:val="24"/>
              </w:rPr>
              <w:t>California Historical Building Code</w:t>
            </w:r>
            <w:r>
              <w:rPr>
                <w:rFonts w:cs="Arial"/>
                <w:szCs w:val="24"/>
              </w:rPr>
              <w:t xml:space="preserve"> (CHBC).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196E0D1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77EA7FAE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0292EE" w14:textId="461F042F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4-2</w:t>
            </w:r>
          </w:p>
        </w:tc>
        <w:tc>
          <w:tcPr>
            <w:tcW w:w="2160" w:type="dxa"/>
            <w:shd w:val="clear" w:color="auto" w:fill="FFFFFF" w:themeFill="background1"/>
          </w:tcPr>
          <w:p w14:paraId="57CB6696" w14:textId="5A044727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C51916">
              <w:rPr>
                <w:rFonts w:cs="Arial"/>
                <w:b/>
                <w:bCs/>
                <w:szCs w:val="24"/>
              </w:rPr>
              <w:t>407.1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B7630" w14:textId="6E9B677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1E647" w14:textId="6E357A30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5CC1FA4" w14:textId="367F38EE" w:rsidR="00EA060D" w:rsidRPr="006E593B" w:rsidRDefault="00EA060D" w:rsidP="00EA060D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2E69525" w14:textId="0B9CA4A8" w:rsidR="00EA060D" w:rsidRDefault="00EA060D" w:rsidP="00EA060D">
            <w:pPr>
              <w:spacing w:after="0"/>
            </w:pPr>
            <w:r>
              <w:t>Adopt Section 407.1 and co-adopt existing HCD amendment</w:t>
            </w:r>
            <w:r w:rsidRPr="005E469F">
              <w:t xml:space="preserve"> </w:t>
            </w:r>
            <w:r>
              <w:t xml:space="preserve">that </w:t>
            </w:r>
            <w:r w:rsidRPr="005E469F">
              <w:t>refers to California Mechanical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4799F" w14:textId="2DF91C80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08B93F6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CEF352A" w14:textId="03EA5620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FD75DB5" w14:textId="71455134" w:rsidR="00EA060D" w:rsidRPr="00D7774D" w:rsidRDefault="00EA060D" w:rsidP="00EA060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901775">
              <w:rPr>
                <w:rFonts w:cs="Arial"/>
                <w:b/>
                <w:bCs/>
                <w:szCs w:val="24"/>
              </w:rPr>
              <w:t>408.1 Materials.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32AD3D" w14:textId="5ADCDFED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2CD7BF" w14:textId="149D884A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5DAB61" w14:textId="49B7C645" w:rsidR="00EA060D" w:rsidRPr="006E593B" w:rsidRDefault="00EA060D" w:rsidP="00EA060D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A847EC8" w14:textId="229B10E5" w:rsidR="00EA060D" w:rsidRDefault="00EA060D" w:rsidP="00EA060D">
            <w:pPr>
              <w:spacing w:after="0"/>
            </w:pPr>
            <w:r>
              <w:t xml:space="preserve">Adopt Section 408.1, co-adopt existing HCD amendment that </w:t>
            </w:r>
            <w:r w:rsidRPr="005E469F">
              <w:t xml:space="preserve">refers to California Plumbing Code and </w:t>
            </w:r>
            <w:r>
              <w:t xml:space="preserve">add reference to </w:t>
            </w:r>
            <w:r w:rsidRPr="005E469F">
              <w:t xml:space="preserve">Division </w:t>
            </w:r>
            <w:r>
              <w:t>5</w:t>
            </w:r>
            <w:r w:rsidRPr="005E469F">
              <w:t>.3 of CALGreen.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090A1" w14:textId="48C7189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2E816083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3FFB35" w14:textId="4F15DC64" w:rsidR="00EA060D" w:rsidRDefault="00EA060D" w:rsidP="00EA060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394F05B" w14:textId="3460495F" w:rsidR="00EA060D" w:rsidRPr="00901775" w:rsidRDefault="00EA060D" w:rsidP="00EA060D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FA2094">
              <w:rPr>
                <w:rFonts w:cs="Arial"/>
                <w:b/>
                <w:bCs/>
                <w:szCs w:val="24"/>
              </w:rPr>
              <w:t>408.2 Water closet replacement.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58D34" w14:textId="66875AA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96DBEE" w14:textId="7A82344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023B6" w14:textId="2A3E2DAB" w:rsidR="00EA060D" w:rsidRPr="006E593B" w:rsidRDefault="00EA060D" w:rsidP="00EA060D">
            <w:pPr>
              <w:spacing w:after="0"/>
            </w:pPr>
            <w:r w:rsidRPr="00F276D6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EE6C653" w14:textId="6A1AF2ED" w:rsidR="00EA060D" w:rsidRDefault="00EA060D" w:rsidP="00EA060D">
            <w:pPr>
              <w:spacing w:after="0"/>
            </w:pPr>
            <w:r>
              <w:t>Adopt Section 408.2 and co-adopt existing HCD amendments which correct the maximum flow rate for water closets and delete the model code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532363" w14:textId="19082F2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C1E632" w14:textId="7D774AE9" w:rsidR="009D71A4" w:rsidRPr="00AD67B3" w:rsidRDefault="009D71A4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 w:rsidR="003E76AA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06E7D5E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Sections 501.1, 502.1, 502.</w:t>
      </w:r>
      <w:r>
        <w:rPr>
          <w:rFonts w:cs="Arial"/>
          <w:szCs w:val="24"/>
        </w:rPr>
        <w:t>2 (former Section 502.3)</w:t>
      </w:r>
      <w:r w:rsidRPr="00D7774D">
        <w:rPr>
          <w:rFonts w:cs="Arial"/>
          <w:szCs w:val="24"/>
        </w:rPr>
        <w:t>, 502.</w:t>
      </w:r>
      <w:r>
        <w:rPr>
          <w:rFonts w:cs="Arial"/>
          <w:szCs w:val="24"/>
        </w:rPr>
        <w:t>3 (former Section 502.4)</w:t>
      </w:r>
      <w:r w:rsidRPr="00D7774D">
        <w:rPr>
          <w:rFonts w:cs="Arial"/>
          <w:szCs w:val="24"/>
        </w:rPr>
        <w:t>, 503.1, 503.2, 503.3, 506.1, 506.1.1, 506.2, 506.3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9D71A4" w:rsidRPr="001E3316" w14:paraId="618D2C12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DEA9D72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26E229C8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3E57AFBE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404FCA">
              <w:rPr>
                <w:rFonts w:cs="Arial"/>
                <w:b/>
                <w:bCs/>
                <w:szCs w:val="24"/>
              </w:rPr>
              <w:t>502.1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66366B1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6B425E6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2727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08E87040" w:rsidR="00EA060D" w:rsidRPr="006E593B" w:rsidRDefault="00EA060D" w:rsidP="00EA060D">
            <w:pPr>
              <w:spacing w:after="0"/>
            </w:pPr>
            <w:r w:rsidRPr="004037F1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28890B74" w14:textId="0D561026" w:rsidR="00EA060D" w:rsidRDefault="00EA060D" w:rsidP="00EA060D">
            <w:pPr>
              <w:spacing w:after="0"/>
            </w:pPr>
            <w:r>
              <w:t>Propose editorial amendments in section 502.1 and a</w:t>
            </w:r>
            <w:r w:rsidRPr="008C33DB">
              <w:t>mend Exception #2 to maintain status quo requiring structural elements to comply with the requirements of Sections 317 through 322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3469EC3D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A060D" w:rsidRPr="001E3316" w14:paraId="65F017E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D69A07E" w14:textId="250D9DB8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lastRenderedPageBreak/>
              <w:t>5-2</w:t>
            </w:r>
          </w:p>
        </w:tc>
        <w:tc>
          <w:tcPr>
            <w:tcW w:w="2160" w:type="dxa"/>
            <w:shd w:val="clear" w:color="auto" w:fill="FFFFFF" w:themeFill="background1"/>
          </w:tcPr>
          <w:p w14:paraId="683EDC82" w14:textId="529D89B3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302F35">
              <w:rPr>
                <w:b/>
                <w:bCs/>
              </w:rPr>
              <w:t xml:space="preserve">507 </w:t>
            </w:r>
            <w:bookmarkStart w:id="3" w:name="_Hlk156488762"/>
            <w:r w:rsidRPr="00302F35">
              <w:rPr>
                <w:b/>
                <w:bCs/>
              </w:rPr>
              <w:t>Historic buildings</w:t>
            </w:r>
            <w:bookmarkEnd w:id="3"/>
            <w:r w:rsidRPr="00302F35">
              <w:rPr>
                <w:b/>
                <w:bCs/>
              </w:rPr>
              <w:t>.</w:t>
            </w:r>
            <w:r w:rsidRPr="00302F35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E6628" w14:textId="50B6B1A9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1DAD5" w14:textId="6C2C034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2727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F4F01B" w14:textId="58270D88" w:rsidR="00EA060D" w:rsidRPr="006E593B" w:rsidRDefault="00EA060D" w:rsidP="00EA060D">
            <w:pPr>
              <w:spacing w:after="0"/>
            </w:pPr>
            <w:r w:rsidRPr="004037F1"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FABDD4D" w14:textId="25FAE275" w:rsidR="00EA060D" w:rsidRDefault="00EA060D" w:rsidP="00EA060D">
            <w:pPr>
              <w:spacing w:after="0"/>
            </w:pPr>
            <w:r>
              <w:t>R</w:t>
            </w:r>
            <w:r w:rsidRPr="008C33DB">
              <w:t>emove model code provisions for historic building</w:t>
            </w:r>
            <w:r>
              <w:t>s</w:t>
            </w:r>
            <w:r w:rsidRPr="008C33DB">
              <w:t xml:space="preserve"> and provide reference to the CHBC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55B43C" w14:textId="5E989E3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75D933" w14:textId="60D08745" w:rsidR="00CB1082" w:rsidRPr="00AD67B3" w:rsidRDefault="00CB1082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3C0049A3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 6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CB1082" w:rsidRPr="001E3316" w14:paraId="3CDAA8E5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43C6895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2E10D82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726C3892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79254B">
              <w:rPr>
                <w:b/>
                <w:bCs/>
                <w:noProof/>
              </w:rPr>
              <w:t>601.1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0BCA809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6F86E327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6D3F02C7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BAD3336" w14:textId="4BC7C590" w:rsidR="00EA060D" w:rsidRDefault="00EA060D" w:rsidP="00EA060D">
            <w:pPr>
              <w:spacing w:after="0"/>
            </w:pPr>
            <w:r>
              <w:t>C</w:t>
            </w:r>
            <w:r w:rsidRPr="00CB1082">
              <w:t>ontinue removing references to historic structures and Chapter 12 of IEBC. The model code language changed slightly from the 2021 IEBC, so BSC delete</w:t>
            </w:r>
            <w:r>
              <w:t>s</w:t>
            </w:r>
            <w:r w:rsidRPr="00CB1082">
              <w:t xml:space="preserve"> the current 2024 IEBC language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42CAB90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C98D349" w14:textId="162F0D4A" w:rsidR="00CB1082" w:rsidRPr="00AD67B3" w:rsidRDefault="00CB1082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7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18FB06F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7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CB1082" w:rsidRPr="001E3316" w14:paraId="04B09DD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04B0696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4BA41A9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637DF93E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A0DB52" w14:textId="4D9D7EA1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C10C9A">
              <w:rPr>
                <w:b/>
                <w:bCs/>
              </w:rPr>
              <w:t>708.1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72B47679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24C5551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7CE86" w14:textId="255A8D79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F3AC711" w14:textId="3A6E6FCF" w:rsidR="00EA060D" w:rsidRDefault="00EA060D" w:rsidP="00EA060D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4892CC0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81979C" w14:textId="572AFC3D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8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5BF0298C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8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2A33EE3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01918E00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6D48D78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734A4C0D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49E08B3" w14:textId="14D4922D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C10C9A">
              <w:rPr>
                <w:b/>
                <w:bCs/>
              </w:rPr>
              <w:t>809.1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1031FAB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415D376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2AABAE" w14:textId="1DF21421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608EFA7" w14:textId="77777777" w:rsidR="00EA060D" w:rsidRDefault="00EA060D" w:rsidP="00EA060D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2AF28F5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1808372" w14:textId="77777777" w:rsidR="009E240E" w:rsidRDefault="009E240E" w:rsidP="00450D2A"/>
    <w:p w14:paraId="707BCF63" w14:textId="77777777" w:rsidR="009E240E" w:rsidRDefault="009E240E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31BD242A" w14:textId="7A3F7BC3" w:rsidR="00A65CA3" w:rsidRPr="00AD67B3" w:rsidRDefault="00A65CA3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9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268FBDB8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9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5ECE7637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2E22C836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49273B0C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2B8B39C8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C6F5453" w14:textId="30CCAA5D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  <w:r w:rsidRPr="00C10C9A">
              <w:rPr>
                <w:b/>
                <w:bCs/>
              </w:rPr>
              <w:t>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686B202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30245107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C20B6B7" w14:textId="6AFB002A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E0E7D0C" w14:textId="77777777" w:rsidR="00EA060D" w:rsidRDefault="00EA060D" w:rsidP="00EA060D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29F5F89A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F5871A" w14:textId="43304C5D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10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27BC4CDB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>
        <w:t>out change.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7A1BDF96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01FFB10C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7389CA0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6596DD51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AE9BC6" w14:textId="5A04FBDC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70BD7FC9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7C4539C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2926E" w14:textId="3A4244B8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9C867E5" w14:textId="08AB70EF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10.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4495EA2C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7B16BAF" w14:textId="0D3E7FF6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11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5F25B3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11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06ECB5C9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52F346CD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7978FAE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3780A3C3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FDCB1C1" w14:textId="5DD9C939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  <w:r w:rsidRPr="00C10C9A">
              <w:rPr>
                <w:b/>
                <w:bCs/>
              </w:rPr>
              <w:t>.1 Minimum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30DC396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06C5948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C9D0B" w14:textId="1B530B41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4C188D6" w14:textId="77777777" w:rsidR="00EA060D" w:rsidRDefault="00EA060D" w:rsidP="00EA060D">
            <w:pPr>
              <w:spacing w:after="0"/>
            </w:pPr>
            <w:r>
              <w:t>A</w:t>
            </w:r>
            <w:r w:rsidRPr="00A65CA3">
              <w:t xml:space="preserve">mend </w:t>
            </w:r>
            <w:r>
              <w:t>this section</w:t>
            </w:r>
            <w:r w:rsidRPr="00A65CA3">
              <w:t xml:space="preserve"> to eliminate possible conflict with existing energy conservation regulations and provide a reference to the California Energy Code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572A269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0FD293" w14:textId="229414F2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12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75AC01BC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2541FE4B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7973DE7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7E57EBC7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5136913" w14:textId="445832C8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0B9225B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64DEE836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24AE7" w14:textId="5BE3903B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B705AF5" w14:textId="34182CA9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t xml:space="preserve">and do NOT print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1E9DEC4D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615DDEA" w14:textId="77777777" w:rsidR="009E240E" w:rsidRDefault="009E240E" w:rsidP="006D0A2A"/>
    <w:p w14:paraId="60A022D2" w14:textId="77777777" w:rsidR="009E240E" w:rsidRDefault="009E240E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31956EE" w14:textId="0FEF0BB0" w:rsidR="00A65CA3" w:rsidRPr="00AD67B3" w:rsidRDefault="00A65CA3" w:rsidP="003E76AA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13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B80F47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1149B0E5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47E6069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4136436E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C0E9513" w14:textId="0DFC17BC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00BDB16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28C4BCB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534F9" w14:textId="44211C8C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170E0CE0" w14:textId="1E760CD7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 Carry forward a note under the chapter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5DDDD0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BBB96B6" w14:textId="17828563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14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33522235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004F17D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526E3160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484FB584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2216729A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486F3E5" w14:textId="2BCE7E21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084B80A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1E8917F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66DF0B" w14:textId="4550FD07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328762FE" w14:textId="31D7457C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EF4069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BB7D90" w14:textId="7D2899C0" w:rsidR="00A65CA3" w:rsidRPr="00AD67B3" w:rsidRDefault="00A65CA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15</w:t>
      </w:r>
      <w:r w:rsidR="003E76AA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0F236826" w:rsidR="00A65CA3" w:rsidRDefault="00A65CA3" w:rsidP="00A65CA3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15 </w:t>
      </w:r>
      <w:r w:rsidRPr="00A417D6">
        <w:t xml:space="preserve">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A65CA3" w:rsidRPr="001E3316" w14:paraId="34F1BB81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2CBA9AA8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675E6EB5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7278A86A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A7334F8" w14:textId="1E894DDC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539458E5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0C6A3EBF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D1712" w14:textId="4F07CB09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4E8AD04D" w14:textId="084B25BB" w:rsidR="00EA060D" w:rsidRDefault="00EA060D" w:rsidP="00EA060D">
            <w:pPr>
              <w:spacing w:after="0"/>
            </w:pPr>
            <w:r w:rsidRPr="00506494">
              <w:t xml:space="preserve">Adopt </w:t>
            </w:r>
            <w:r w:rsidRPr="00A417D6">
              <w:t>2024 I</w:t>
            </w:r>
            <w:r>
              <w:t>E</w:t>
            </w:r>
            <w:r w:rsidRPr="00A417D6">
              <w:t>BC</w:t>
            </w:r>
            <w:r>
              <w:t xml:space="preserve"> Chapter 15 </w:t>
            </w:r>
            <w:r w:rsidRPr="00A417D6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2C4966F8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BAE2404" w14:textId="64AE496D" w:rsidR="00154763" w:rsidRPr="00AD67B3" w:rsidRDefault="00154763" w:rsidP="003E76AA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16</w:t>
      </w:r>
      <w:r w:rsidR="003E76AA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2C38E39D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6F654C8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3C40E431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67E6040E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348F141F" w:rsidR="00EA060D" w:rsidRPr="00154763" w:rsidRDefault="00EA060D" w:rsidP="00EA060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>
              <w:rPr>
                <w:b/>
                <w:bCs/>
              </w:rPr>
              <w:t xml:space="preserve"> </w:t>
            </w:r>
            <w:r w:rsidRPr="00AF03B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AF03BE">
              <w:rPr>
                <w:b/>
                <w:bCs/>
              </w:rPr>
              <w:t>—</w:t>
            </w:r>
            <w:r w:rsidRPr="00AF03BE">
              <w:rPr>
                <w:b/>
                <w:bCs/>
                <w:strike/>
              </w:rPr>
              <w:t>2017</w:t>
            </w:r>
            <w:r>
              <w:rPr>
                <w:b/>
                <w:bCs/>
                <w:strike/>
              </w:rPr>
              <w:t xml:space="preserve"> </w:t>
            </w:r>
            <w:r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7D232BA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62F5E63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7904FBC5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A62B47" w14:textId="7003BD1B" w:rsidR="00EA060D" w:rsidRDefault="00EA060D" w:rsidP="00EA060D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19F1ACD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66DDA29" w14:textId="77777777" w:rsidR="009E240E" w:rsidRDefault="009E240E" w:rsidP="006D0A2A"/>
    <w:p w14:paraId="08443B0D" w14:textId="77777777" w:rsidR="009E240E" w:rsidRDefault="009E240E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2726614" w14:textId="3F570414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17</w:t>
      </w:r>
      <w:r w:rsidR="003E76AA">
        <w:rPr>
          <w:noProof/>
        </w:rPr>
        <w:br/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BUILDINGS,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09C2EE27" w14:textId="0DCAB614" w:rsidR="00154763" w:rsidRDefault="00154763" w:rsidP="00154763">
      <w:r>
        <w:t>A</w:t>
      </w:r>
      <w:r w:rsidRPr="00154763">
        <w:t>dopt Appendix Chapters A1 and A2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141C4567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0D7BFBEB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1B35511F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7E654F91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65F54A84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Chapters A1 and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494FBCA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0E8D10F1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4F3BBD29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7FF2B3F7" w14:textId="433FF63D" w:rsidR="00EA060D" w:rsidRDefault="00EA060D" w:rsidP="00EA060D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Chapters A1 and A2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4E456F5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C1236FA" w14:textId="62E75F22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18</w:t>
      </w:r>
      <w:r w:rsidR="003E76AA">
        <w:rPr>
          <w:noProof/>
        </w:rPr>
        <w:br/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BUILDINGS,</w:t>
      </w:r>
      <w:r>
        <w:rPr>
          <w:rFonts w:cs="Arial"/>
          <w:bCs/>
        </w:rPr>
        <w:t xml:space="preserve"> </w:t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51D3F1A8" w14:textId="67EC49CF" w:rsidR="00154763" w:rsidRDefault="00154763" w:rsidP="00154763">
      <w:r>
        <w:t>Do NOT a</w:t>
      </w:r>
      <w:r w:rsidRPr="004C0267">
        <w:t xml:space="preserve">dopt </w:t>
      </w:r>
      <w:r w:rsidRPr="00154763">
        <w:t>Appendix Chapters A</w:t>
      </w:r>
      <w:r>
        <w:t>3</w:t>
      </w:r>
      <w:r w:rsidRPr="00154763">
        <w:t xml:space="preserve"> and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73F75C9F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0A54840B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6836484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6CED34BB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B78818D" w14:textId="3CE3F495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Chapters A3 and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13062C77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D6CC" w14:textId="54CF9BE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242AE" w14:textId="41D4ACD4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6D4B645" w14:textId="3D16DE77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Chapters A3 and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51F35A0B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7F343F9" w14:textId="5F820A9B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19</w:t>
      </w:r>
      <w:r w:rsidR="003E76AA">
        <w:rPr>
          <w:noProof/>
        </w:rPr>
        <w:br/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537E904E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7A66E98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21CC6BA2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409890DA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49EF3BE" w14:textId="025C762A" w:rsidR="00EA060D" w:rsidRPr="00666DBB" w:rsidRDefault="00EA060D" w:rsidP="00EA06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6EE48F1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EBAB3" w14:textId="3B9DE402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D46E2" w14:textId="16F7202D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5DC52E7B" w14:textId="7B6555A0" w:rsidR="00EA060D" w:rsidRDefault="00EA060D" w:rsidP="00EA060D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3F58F434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823DC73" w14:textId="63F81ABD" w:rsidR="00154763" w:rsidRPr="00154763" w:rsidRDefault="00154763" w:rsidP="003E76AA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20</w:t>
      </w:r>
      <w:r w:rsidR="003E76AA">
        <w:rPr>
          <w:noProof/>
        </w:rPr>
        <w:br/>
      </w:r>
      <w:r w:rsidRPr="00154763">
        <w:rPr>
          <w:rFonts w:cs="Arial"/>
          <w:bCs/>
        </w:rPr>
        <w:t>Appendi</w:t>
      </w:r>
      <w:r>
        <w:rPr>
          <w:rFonts w:cs="Arial"/>
          <w:bCs/>
        </w:rPr>
        <w:t>ces</w:t>
      </w:r>
      <w:r w:rsidRPr="00154763">
        <w:rPr>
          <w:rFonts w:cs="Arial"/>
          <w:bCs/>
        </w:rPr>
        <w:t xml:space="preserve"> B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C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D</w:t>
      </w:r>
      <w:r>
        <w:rPr>
          <w:rFonts w:cs="Arial"/>
          <w:bCs/>
        </w:rPr>
        <w:t xml:space="preserve">, </w:t>
      </w:r>
      <w:r w:rsidRPr="00154763">
        <w:rPr>
          <w:rFonts w:cs="Arial"/>
          <w:bCs/>
        </w:rPr>
        <w:t>E</w:t>
      </w:r>
      <w:r>
        <w:rPr>
          <w:rFonts w:cs="Arial"/>
          <w:bCs/>
        </w:rPr>
        <w:t xml:space="preserve"> and </w:t>
      </w:r>
      <w:r w:rsidRPr="00154763">
        <w:rPr>
          <w:rFonts w:cs="Arial"/>
          <w:bCs/>
        </w:rPr>
        <w:t>Resource A</w:t>
      </w:r>
    </w:p>
    <w:p w14:paraId="32CCF4BB" w14:textId="68AD3305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Appendices B, C, D, E and 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896"/>
        <w:gridCol w:w="1080"/>
      </w:tblGrid>
      <w:tr w:rsidR="00154763" w:rsidRPr="001E3316" w14:paraId="6489403B" w14:textId="77777777" w:rsidTr="00D2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650F725D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896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A060D" w:rsidRPr="001E3316" w14:paraId="6071DB79" w14:textId="77777777" w:rsidTr="003E76A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3F558B7D" w:rsidR="00EA060D" w:rsidRDefault="00EA060D" w:rsidP="00EA060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194B5D3" w14:textId="7697DC90" w:rsidR="00EA060D" w:rsidRPr="00666DBB" w:rsidRDefault="00EA060D" w:rsidP="00EA060D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Appendices B, C, D,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51537373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4697D" w14:textId="334105CE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 w:rsidRPr="00C315D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DFB437" w14:textId="219A2C0D" w:rsidR="00EA060D" w:rsidRPr="006E593B" w:rsidRDefault="00EA060D" w:rsidP="00EA060D">
            <w:pPr>
              <w:spacing w:after="0"/>
            </w:pPr>
            <w:r>
              <w:t>No Public Comments Received</w:t>
            </w:r>
          </w:p>
        </w:tc>
        <w:tc>
          <w:tcPr>
            <w:tcW w:w="4896" w:type="dxa"/>
            <w:shd w:val="clear" w:color="auto" w:fill="FFFFFF" w:themeFill="background1"/>
          </w:tcPr>
          <w:p w14:paraId="0D119560" w14:textId="56E49FB8" w:rsidR="00EA060D" w:rsidRDefault="00EA060D" w:rsidP="00EA060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Appendices 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20A94B9D" w:rsidR="00EA060D" w:rsidRPr="00666DBB" w:rsidRDefault="00EA060D" w:rsidP="00EA060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C0FE07C" w14:textId="77777777" w:rsidR="00154763" w:rsidRDefault="00154763" w:rsidP="00E67FA5"/>
    <w:sectPr w:rsidR="00154763" w:rsidSect="00DD44D0">
      <w:footerReference w:type="default" r:id="rId8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9771" w14:textId="77777777" w:rsidR="009F1950" w:rsidRDefault="009F1950" w:rsidP="00EA4D4E">
      <w:pPr>
        <w:spacing w:after="0"/>
      </w:pPr>
      <w:r>
        <w:separator/>
      </w:r>
    </w:p>
  </w:endnote>
  <w:endnote w:type="continuationSeparator" w:id="0">
    <w:p w14:paraId="7A7AE1A6" w14:textId="77777777" w:rsidR="009F1950" w:rsidRDefault="009F1950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685F24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731FB">
      <w:rPr>
        <w:rFonts w:cs="Arial"/>
      </w:rPr>
      <w:t>February 26, 2025</w:t>
    </w:r>
  </w:p>
  <w:p w14:paraId="1802EBAA" w14:textId="13F086B6" w:rsidR="00EA4D4E" w:rsidRPr="00207E89" w:rsidRDefault="0034543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45437">
      <w:rPr>
        <w:rFonts w:cs="Arial"/>
      </w:rPr>
      <w:t xml:space="preserve">BSC </w:t>
    </w:r>
    <w:r w:rsidR="00C31AE5">
      <w:rPr>
        <w:rFonts w:cs="Arial"/>
      </w:rPr>
      <w:t>06</w:t>
    </w:r>
    <w:r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E064A4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6731FB">
      <w:rPr>
        <w:rFonts w:cs="Arial"/>
      </w:rPr>
      <w:t>SOS Filing</w:t>
    </w:r>
  </w:p>
  <w:p w14:paraId="43178E55" w14:textId="730ABF76" w:rsidR="00EA4D4E" w:rsidRPr="00207E89" w:rsidRDefault="0034543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2E684C">
      <w:rPr>
        <w:szCs w:val="16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A216" w14:textId="77777777" w:rsidR="009F1950" w:rsidRDefault="009F1950" w:rsidP="00EA4D4E">
      <w:pPr>
        <w:spacing w:after="0"/>
      </w:pPr>
      <w:r>
        <w:separator/>
      </w:r>
    </w:p>
  </w:footnote>
  <w:footnote w:type="continuationSeparator" w:id="0">
    <w:p w14:paraId="25C592DD" w14:textId="77777777" w:rsidR="009F1950" w:rsidRDefault="009F1950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4C8"/>
    <w:rsid w:val="0005450F"/>
    <w:rsid w:val="00063C1B"/>
    <w:rsid w:val="000860DC"/>
    <w:rsid w:val="000D2460"/>
    <w:rsid w:val="00154763"/>
    <w:rsid w:val="0016159A"/>
    <w:rsid w:val="001852C7"/>
    <w:rsid w:val="001B3BD6"/>
    <w:rsid w:val="00207E89"/>
    <w:rsid w:val="00234734"/>
    <w:rsid w:val="002B0A70"/>
    <w:rsid w:val="002D7640"/>
    <w:rsid w:val="00314DF1"/>
    <w:rsid w:val="00336254"/>
    <w:rsid w:val="00342005"/>
    <w:rsid w:val="00345437"/>
    <w:rsid w:val="00383527"/>
    <w:rsid w:val="00384032"/>
    <w:rsid w:val="003B609F"/>
    <w:rsid w:val="003C0732"/>
    <w:rsid w:val="003C1DF7"/>
    <w:rsid w:val="003E19BB"/>
    <w:rsid w:val="003E76AA"/>
    <w:rsid w:val="00450D2A"/>
    <w:rsid w:val="00451E70"/>
    <w:rsid w:val="00464CB1"/>
    <w:rsid w:val="0049071C"/>
    <w:rsid w:val="004C4B60"/>
    <w:rsid w:val="004D53D9"/>
    <w:rsid w:val="005043A5"/>
    <w:rsid w:val="005107D5"/>
    <w:rsid w:val="00530A5B"/>
    <w:rsid w:val="00540053"/>
    <w:rsid w:val="00595B4C"/>
    <w:rsid w:val="005E44F6"/>
    <w:rsid w:val="00602858"/>
    <w:rsid w:val="0063006A"/>
    <w:rsid w:val="00630C31"/>
    <w:rsid w:val="00641D48"/>
    <w:rsid w:val="00666DBB"/>
    <w:rsid w:val="006731FB"/>
    <w:rsid w:val="006824D6"/>
    <w:rsid w:val="006A3C2D"/>
    <w:rsid w:val="006C5969"/>
    <w:rsid w:val="006D0A2A"/>
    <w:rsid w:val="007078B7"/>
    <w:rsid w:val="0071115E"/>
    <w:rsid w:val="00714133"/>
    <w:rsid w:val="00715553"/>
    <w:rsid w:val="007A0472"/>
    <w:rsid w:val="007A5E34"/>
    <w:rsid w:val="007C3CA9"/>
    <w:rsid w:val="007C3CE4"/>
    <w:rsid w:val="008259AA"/>
    <w:rsid w:val="008415A0"/>
    <w:rsid w:val="00843EE8"/>
    <w:rsid w:val="00856D27"/>
    <w:rsid w:val="008643A8"/>
    <w:rsid w:val="00864D4F"/>
    <w:rsid w:val="00867C04"/>
    <w:rsid w:val="008732B2"/>
    <w:rsid w:val="00876DB7"/>
    <w:rsid w:val="008C33DB"/>
    <w:rsid w:val="008F2B9E"/>
    <w:rsid w:val="009D3118"/>
    <w:rsid w:val="009D71A4"/>
    <w:rsid w:val="009E240E"/>
    <w:rsid w:val="009E77DA"/>
    <w:rsid w:val="009F1950"/>
    <w:rsid w:val="009F7EBE"/>
    <w:rsid w:val="00A31878"/>
    <w:rsid w:val="00A65CA3"/>
    <w:rsid w:val="00A928CD"/>
    <w:rsid w:val="00AA4302"/>
    <w:rsid w:val="00AA57AE"/>
    <w:rsid w:val="00AA7570"/>
    <w:rsid w:val="00AF03E0"/>
    <w:rsid w:val="00B024FD"/>
    <w:rsid w:val="00B2297D"/>
    <w:rsid w:val="00B23348"/>
    <w:rsid w:val="00B23EC9"/>
    <w:rsid w:val="00B750C8"/>
    <w:rsid w:val="00BA4410"/>
    <w:rsid w:val="00BA5798"/>
    <w:rsid w:val="00BC3BED"/>
    <w:rsid w:val="00BC58CD"/>
    <w:rsid w:val="00BD6C6A"/>
    <w:rsid w:val="00C13800"/>
    <w:rsid w:val="00C14E68"/>
    <w:rsid w:val="00C31AE5"/>
    <w:rsid w:val="00C829CB"/>
    <w:rsid w:val="00C93FAF"/>
    <w:rsid w:val="00CB1082"/>
    <w:rsid w:val="00CC1235"/>
    <w:rsid w:val="00CD275E"/>
    <w:rsid w:val="00D2068D"/>
    <w:rsid w:val="00D2265F"/>
    <w:rsid w:val="00D34669"/>
    <w:rsid w:val="00D86E67"/>
    <w:rsid w:val="00DB4C62"/>
    <w:rsid w:val="00DD44D0"/>
    <w:rsid w:val="00DF33F2"/>
    <w:rsid w:val="00E064A4"/>
    <w:rsid w:val="00E15B76"/>
    <w:rsid w:val="00E42E3A"/>
    <w:rsid w:val="00E67FA5"/>
    <w:rsid w:val="00E71F81"/>
    <w:rsid w:val="00E922E8"/>
    <w:rsid w:val="00EA060D"/>
    <w:rsid w:val="00EA24F7"/>
    <w:rsid w:val="00EA4D4E"/>
    <w:rsid w:val="00F308F8"/>
    <w:rsid w:val="00F34F03"/>
    <w:rsid w:val="00FB3CA6"/>
    <w:rsid w:val="00FD4F75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AC8C-48DF-4D49-A6E0-2C73BE2D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BSC-06-24-CAM-PT10-Green</vt:lpstr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BSC-06-24-CAM-PT10-SOS Filing</dc:title>
  <dc:subject/>
  <dc:creator>Brauzman, Irina@DGS</dc:creator>
  <cp:keywords/>
  <dc:description/>
  <cp:lastModifiedBy>Cheong, Woo@DGS</cp:lastModifiedBy>
  <cp:revision>40</cp:revision>
  <dcterms:created xsi:type="dcterms:W3CDTF">2023-07-06T20:49:00Z</dcterms:created>
  <dcterms:modified xsi:type="dcterms:W3CDTF">2025-03-04T22:06:00Z</dcterms:modified>
</cp:coreProperties>
</file>