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261CC3A1"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AA2EB6">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2D2D39">
        <w:rPr>
          <w:rFonts w:cs="Arial"/>
        </w:rPr>
        <w:t>STATE FIRE MARS</w:t>
      </w:r>
      <w:r w:rsidR="001A7302">
        <w:rPr>
          <w:rFonts w:cs="Arial"/>
        </w:rPr>
        <w:t>H</w:t>
      </w:r>
      <w:r w:rsidR="002D2D39">
        <w:rPr>
          <w:rFonts w:cs="Arial"/>
        </w:rPr>
        <w:t>AL</w:t>
      </w:r>
      <w:r w:rsidR="00767766" w:rsidRPr="0044593B">
        <w:rPr>
          <w:rFonts w:cs="Arial"/>
        </w:rPr>
        <w:br/>
        <w:t xml:space="preserve">REGARDING THE </w:t>
      </w:r>
      <w:r w:rsidR="002D2D39" w:rsidRPr="00455DF6">
        <w:rPr>
          <w:rFonts w:cs="Arial"/>
        </w:rPr>
        <w:t>2025 CALIFORNIA BUILDING CODE</w:t>
      </w:r>
      <w:r w:rsidR="00767766" w:rsidRPr="0044593B">
        <w:rPr>
          <w:rFonts w:cs="Arial"/>
        </w:rPr>
        <w:t>,</w:t>
      </w:r>
      <w:r w:rsidR="000C7383">
        <w:rPr>
          <w:rFonts w:cs="Arial"/>
        </w:rPr>
        <w:br/>
      </w:r>
      <w:r w:rsidR="00767766" w:rsidRPr="0044593B">
        <w:rPr>
          <w:rFonts w:cs="Arial"/>
        </w:rPr>
        <w:t xml:space="preserve">CALIFORNIA CODE OF REGULATIONS, TITLE 24, PART </w:t>
      </w:r>
      <w:r w:rsidR="00A92619">
        <w:rPr>
          <w:rFonts w:cs="Arial"/>
        </w:rPr>
        <w:t>2</w:t>
      </w:r>
      <w:r w:rsidR="000C7383">
        <w:rPr>
          <w:rFonts w:cs="Arial"/>
        </w:rPr>
        <w:br/>
      </w:r>
      <w:r w:rsidR="00767766" w:rsidRPr="0044593B">
        <w:rPr>
          <w:rFonts w:cs="Arial"/>
          <w:szCs w:val="24"/>
        </w:rPr>
        <w:t>(</w:t>
      </w:r>
      <w:r w:rsidR="00AA2EB6" w:rsidRPr="00AA2EB6">
        <w:rPr>
          <w:rFonts w:cs="Arial"/>
          <w:szCs w:val="24"/>
        </w:rPr>
        <w:t>SFM 0</w:t>
      </w:r>
      <w:r w:rsidR="00A92619">
        <w:rPr>
          <w:rFonts w:cs="Arial"/>
          <w:szCs w:val="24"/>
        </w:rPr>
        <w:t>4</w:t>
      </w:r>
      <w:r w:rsidR="00AA2EB6" w:rsidRPr="00AA2EB6">
        <w:rPr>
          <w:rFonts w:cs="Arial"/>
          <w:szCs w:val="24"/>
        </w:rPr>
        <w:t>/24</w:t>
      </w:r>
      <w:r w:rsidR="00767766" w:rsidRPr="0044593B">
        <w:rPr>
          <w:rFonts w:cs="Arial"/>
          <w:szCs w:val="24"/>
        </w:rPr>
        <w:t>)</w:t>
      </w:r>
    </w:p>
    <w:p w14:paraId="2CC5E725" w14:textId="7FCBD660" w:rsidR="0017531B" w:rsidRPr="0044593B" w:rsidRDefault="00FB34BE" w:rsidP="00FB34BE">
      <w:pPr>
        <w:spacing w:after="120"/>
        <w:rPr>
          <w:rFonts w:cs="Arial"/>
        </w:rPr>
      </w:pPr>
      <w:r w:rsidRPr="0044593B">
        <w:rPr>
          <w:rFonts w:cs="Arial"/>
        </w:rPr>
        <w:t xml:space="preserve">No state agency may adopt, amend, or repeal a regulation </w:t>
      </w:r>
      <w:r w:rsidR="001A7302">
        <w:rPr>
          <w:rFonts w:cs="Arial"/>
        </w:rPr>
        <w:t>t</w:t>
      </w:r>
      <w:r w:rsidRPr="0044593B">
        <w:rPr>
          <w:rFonts w:cs="Arial"/>
        </w:rPr>
        <w:t>h</w:t>
      </w:r>
      <w:r w:rsidR="001A7302">
        <w:rPr>
          <w:rFonts w:cs="Arial"/>
        </w:rPr>
        <w:t>at</w:t>
      </w:r>
      <w:r w:rsidRPr="0044593B">
        <w:rPr>
          <w:rFonts w:cs="Arial"/>
        </w:rPr>
        <w:t xml:space="preserve"> has been changed from that which was originally made available to the public pursuant to </w:t>
      </w:r>
      <w:r w:rsidR="00982F18">
        <w:rPr>
          <w:rFonts w:cs="Arial"/>
        </w:rPr>
        <w:t xml:space="preserve">Government Code </w:t>
      </w:r>
      <w:r w:rsidRPr="0044593B">
        <w:rPr>
          <w:rFonts w:cs="Arial"/>
        </w:rPr>
        <w:t>Section 11346.5 unless the change is (1) non</w:t>
      </w:r>
      <w:r w:rsidR="00E65708">
        <w:rPr>
          <w:rFonts w:cs="Arial"/>
        </w:rPr>
        <w:t>-</w:t>
      </w:r>
      <w:r w:rsidRPr="0044593B">
        <w:rPr>
          <w:rFonts w:cs="Arial"/>
        </w:rPr>
        <w:t>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cs="Arial"/>
        </w:rPr>
        <w:t xml:space="preserve"> or 45</w:t>
      </w:r>
      <w:r w:rsidRPr="0044593B">
        <w:rPr>
          <w:rFonts w:cs="Arial"/>
        </w:rPr>
        <w:t xml:space="preserve"> days before the agency adopts, amends, or repeals the resulting regulation.</w:t>
      </w:r>
    </w:p>
    <w:p w14:paraId="1D0B4194" w14:textId="060EE4B0" w:rsidR="00FB34BE" w:rsidRPr="0044593B" w:rsidRDefault="00FB34BE" w:rsidP="00FB34BE">
      <w:pPr>
        <w:spacing w:after="120"/>
        <w:rPr>
          <w:rFonts w:cs="Arial"/>
        </w:rPr>
      </w:pPr>
      <w:r w:rsidRPr="0044593B">
        <w:rPr>
          <w:rFonts w:cs="Arial"/>
        </w:rPr>
        <w:t xml:space="preserve">Any written comments received regarding the change must be responded to in the final statement of reasons required by </w:t>
      </w:r>
      <w:r w:rsidR="00982F18">
        <w:rPr>
          <w:rFonts w:cs="Arial"/>
        </w:rPr>
        <w:t xml:space="preserve">Government Code </w:t>
      </w:r>
      <w:r w:rsidRPr="0044593B">
        <w:rPr>
          <w:rFonts w:cs="Arial"/>
        </w:rPr>
        <w:t xml:space="preserve">Section 11346.9 (Government Code Section 11346.8(c)). </w:t>
      </w:r>
    </w:p>
    <w:p w14:paraId="508FDA34" w14:textId="13312A37" w:rsidR="00DD1947" w:rsidRPr="0044593B" w:rsidRDefault="00DD1947" w:rsidP="009D10AD">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sidR="008A63C7">
        <w:rPr>
          <w:rFonts w:cs="Arial"/>
          <w:szCs w:val="24"/>
        </w:rPr>
        <w:t>, double strikeout</w:t>
      </w:r>
      <w:r w:rsidRPr="0044593B">
        <w:rPr>
          <w:rFonts w:cs="Arial"/>
          <w:szCs w:val="24"/>
        </w:rPr>
        <w:t>, italics</w:t>
      </w:r>
      <w:r w:rsidR="001A7302">
        <w:rPr>
          <w:rFonts w:cs="Arial"/>
          <w:szCs w:val="24"/>
        </w:rPr>
        <w:t>,</w:t>
      </w:r>
      <w:r w:rsidRPr="0044593B">
        <w:rPr>
          <w:rFonts w:cs="Arial"/>
          <w:szCs w:val="24"/>
        </w:rPr>
        <w:t xml:space="preserve"> and ellipsis.</w:t>
      </w:r>
      <w:r w:rsidR="003324BE" w:rsidRPr="0044593B">
        <w:rPr>
          <w:rFonts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cs="Arial"/>
        </w:rPr>
      </w:pPr>
      <w:bookmarkStart w:id="0" w:name="_Hlk51751202"/>
      <w:r w:rsidRPr="0044593B">
        <w:rPr>
          <w:rFonts w:cs="Arial"/>
        </w:rPr>
        <w:t>Model Code language appears upright</w:t>
      </w:r>
      <w:r w:rsidR="00B53C67" w:rsidRPr="0044593B">
        <w:rPr>
          <w:rFonts w:cs="Arial"/>
        </w:rPr>
        <w:t>.</w:t>
      </w:r>
    </w:p>
    <w:p w14:paraId="52AB6E65" w14:textId="395D7A77" w:rsidR="00CF2161" w:rsidRPr="0044593B" w:rsidRDefault="00CF2161" w:rsidP="00CF2161">
      <w:pPr>
        <w:pStyle w:val="ListParagraph"/>
        <w:numPr>
          <w:ilvl w:val="0"/>
          <w:numId w:val="5"/>
        </w:numPr>
        <w:rPr>
          <w:rFonts w:cs="Arial"/>
          <w:iCs/>
        </w:rPr>
      </w:pPr>
      <w:r w:rsidRPr="0044593B">
        <w:rPr>
          <w:rFonts w:cs="Arial"/>
        </w:rPr>
        <w:t xml:space="preserve">Unmodified California 45-day amendments appear in </w:t>
      </w:r>
      <w:r w:rsidRPr="008A63C7">
        <w:rPr>
          <w:rFonts w:cs="Arial"/>
          <w:i/>
          <w:u w:val="single"/>
        </w:rPr>
        <w:t xml:space="preserve">underline </w:t>
      </w:r>
      <w:r w:rsidR="00B53C67" w:rsidRPr="008A63C7">
        <w:rPr>
          <w:rFonts w:cs="Arial"/>
          <w:i/>
          <w:u w:val="single"/>
        </w:rPr>
        <w:t>and</w:t>
      </w:r>
      <w:r w:rsidRPr="008A63C7">
        <w:rPr>
          <w:rFonts w:cs="Arial"/>
          <w:i/>
          <w:u w:val="single"/>
        </w:rPr>
        <w:t xml:space="preserve"> italic</w:t>
      </w:r>
      <w:r w:rsidR="00B53C67" w:rsidRPr="0044593B">
        <w:rPr>
          <w:rFonts w:cs="Arial"/>
          <w:iCs/>
        </w:rPr>
        <w:t xml:space="preserve"> and </w:t>
      </w:r>
      <w:r w:rsidR="00B53C67" w:rsidRPr="008A63C7">
        <w:rPr>
          <w:rFonts w:cs="Arial"/>
          <w:i/>
          <w:strike/>
        </w:rPr>
        <w:t>strikeout and italic</w:t>
      </w:r>
      <w:r w:rsidR="00B53C67" w:rsidRPr="0044593B">
        <w:rPr>
          <w:rFonts w:cs="Arial"/>
          <w:i/>
        </w:rPr>
        <w:t>.</w:t>
      </w:r>
    </w:p>
    <w:p w14:paraId="15B6E9D7" w14:textId="71A36FC3" w:rsidR="00CF2161" w:rsidRPr="0044593B" w:rsidRDefault="00CF2161" w:rsidP="00CF2161">
      <w:pPr>
        <w:pStyle w:val="ListParagraph"/>
        <w:numPr>
          <w:ilvl w:val="0"/>
          <w:numId w:val="5"/>
        </w:numPr>
        <w:rPr>
          <w:rFonts w:cs="Arial"/>
          <w:i/>
          <w:u w:val="single"/>
        </w:rPr>
      </w:pPr>
      <w:r w:rsidRPr="0044593B">
        <w:rPr>
          <w:rFonts w:cs="Arial"/>
        </w:rPr>
        <w:t xml:space="preserve">California additional </w:t>
      </w:r>
      <w:r w:rsidR="00A92619">
        <w:rPr>
          <w:rFonts w:cs="Arial"/>
        </w:rPr>
        <w:t>15</w:t>
      </w:r>
      <w:r w:rsidRPr="0044593B">
        <w:rPr>
          <w:rFonts w:cs="Arial"/>
        </w:rPr>
        <w:t xml:space="preserve">-day amendments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2535AC15" w14:textId="5DCE2A88" w:rsidR="00CF2161" w:rsidRPr="0044593B" w:rsidRDefault="0028741A" w:rsidP="00CF2161">
      <w:pPr>
        <w:pStyle w:val="ListParagraph"/>
        <w:numPr>
          <w:ilvl w:val="0"/>
          <w:numId w:val="5"/>
        </w:numPr>
        <w:rPr>
          <w:rFonts w:cs="Arial"/>
        </w:rPr>
      </w:pPr>
      <w:r w:rsidRPr="0044593B">
        <w:rPr>
          <w:rFonts w:cs="Arial"/>
        </w:rPr>
        <w:t>Ellips</w:t>
      </w:r>
      <w:r>
        <w:rPr>
          <w:rFonts w:cs="Arial"/>
        </w:rPr>
        <w:t>e</w:t>
      </w:r>
      <w:r w:rsidRPr="0044593B">
        <w:rPr>
          <w:rFonts w:cs="Arial"/>
        </w:rPr>
        <w:t xml:space="preserve">s </w:t>
      </w:r>
      <w:r w:rsidR="00B53C67" w:rsidRPr="0044593B">
        <w:rPr>
          <w:rFonts w:cs="Arial"/>
          <w:szCs w:val="24"/>
        </w:rPr>
        <w:t>(</w:t>
      </w:r>
      <w:r w:rsidR="00B53C67" w:rsidRPr="0044593B">
        <w:rPr>
          <w:rFonts w:cs="Arial"/>
          <w:sz w:val="2"/>
          <w:szCs w:val="2"/>
        </w:rPr>
        <w:t xml:space="preserve"> </w:t>
      </w:r>
      <w:r w:rsidR="00B53C67" w:rsidRPr="0044593B">
        <w:rPr>
          <w:rFonts w:eastAsia="Times New Roman" w:cs="Arial"/>
          <w:szCs w:val="24"/>
          <w:lang w:eastAsia="ko-KR"/>
        </w:rPr>
        <w:t>...)</w:t>
      </w:r>
      <w:r w:rsidR="00B53C67" w:rsidRPr="0044593B">
        <w:rPr>
          <w:rFonts w:eastAsia="Times New Roman"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cs="Arial"/>
        </w:rPr>
      </w:pPr>
      <w:r w:rsidRPr="0044593B">
        <w:rPr>
          <w:rFonts w:cs="Arial"/>
          <w:b/>
          <w:bCs/>
        </w:rPr>
        <w:t>Rationale</w:t>
      </w:r>
      <w:r w:rsidRPr="0044593B">
        <w:rPr>
          <w:rFonts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cs="Arial"/>
          <w:sz w:val="10"/>
          <w:szCs w:val="10"/>
        </w:rPr>
      </w:pPr>
    </w:p>
    <w:p w14:paraId="70030441" w14:textId="38ED3AC1" w:rsidR="005032E0" w:rsidRDefault="00786248" w:rsidP="00BB4D9E">
      <w:pPr>
        <w:pStyle w:val="Heading2"/>
      </w:pPr>
      <w:r w:rsidRPr="0044593B">
        <w:t>ADDITIONAL</w:t>
      </w:r>
      <w:r w:rsidR="00767766" w:rsidRPr="0044593B">
        <w:t xml:space="preserve"> </w:t>
      </w:r>
      <w:r w:rsidR="00AA2EB6">
        <w:t>15</w:t>
      </w:r>
      <w:r w:rsidRPr="0044593B">
        <w:t xml:space="preserve">-DAY </w:t>
      </w:r>
      <w:r w:rsidR="00767766" w:rsidRPr="0044593B">
        <w:t>EXPRESS TERMS</w:t>
      </w:r>
    </w:p>
    <w:p w14:paraId="06A5AD0D" w14:textId="3020F38A" w:rsidR="00DB1862" w:rsidRPr="00BB4D9E" w:rsidRDefault="00DB1862" w:rsidP="002A30A8">
      <w:pPr>
        <w:pStyle w:val="Heading3"/>
        <w:rPr>
          <w:iCs/>
        </w:rPr>
      </w:pPr>
      <w:r w:rsidRPr="00455DF6">
        <w:t>ITEM 1-2</w:t>
      </w:r>
      <w:r w:rsidR="00766190">
        <w:t>.1</w:t>
      </w:r>
      <w:r w:rsidR="000F394C" w:rsidRPr="00455DF6">
        <w:rPr>
          <w:snapToGrid/>
        </w:rPr>
        <w:br/>
      </w:r>
      <w:bookmarkStart w:id="1" w:name="_Hlk169770920"/>
      <w:r w:rsidR="000F394C" w:rsidRPr="000F394C">
        <w:t xml:space="preserve">chapter 1 </w:t>
      </w:r>
      <w:r w:rsidR="000F394C">
        <w:t>S</w:t>
      </w:r>
      <w:r w:rsidR="000F394C" w:rsidRPr="000F394C">
        <w:t xml:space="preserve">cope and </w:t>
      </w:r>
      <w:r w:rsidR="000F394C">
        <w:t>A</w:t>
      </w:r>
      <w:r w:rsidR="000F394C" w:rsidRPr="000F394C">
        <w:t>dministration,</w:t>
      </w:r>
      <w:r w:rsidR="000F394C">
        <w:br/>
      </w:r>
      <w:r w:rsidRPr="00455DF6">
        <w:t xml:space="preserve">Section </w:t>
      </w:r>
      <w:r w:rsidRPr="008D4CB4">
        <w:t>1.11.</w:t>
      </w:r>
      <w:r w:rsidR="00766190">
        <w:t>4.4</w:t>
      </w:r>
      <w:r w:rsidRPr="008D4CB4">
        <w:t xml:space="preserve"> </w:t>
      </w:r>
      <w:bookmarkEnd w:id="1"/>
      <w:r w:rsidR="00766190">
        <w:t>Fire clearance preinspection</w:t>
      </w:r>
    </w:p>
    <w:p w14:paraId="76C9DEF8" w14:textId="6F3D3366" w:rsidR="005032E0" w:rsidRPr="00BB4D9E" w:rsidRDefault="005032E0" w:rsidP="00BB4D9E">
      <w:pPr>
        <w:spacing w:after="120"/>
        <w:rPr>
          <w:b/>
          <w:bCs/>
          <w:i/>
          <w:iCs/>
        </w:rPr>
      </w:pPr>
      <w:r w:rsidRPr="005032E0">
        <w:rPr>
          <w:b/>
          <w:bCs/>
          <w:i/>
          <w:iCs/>
        </w:rPr>
        <w:t>1.11.4.4 Fire clearance preinspection.</w:t>
      </w:r>
      <w:r w:rsidR="00BB4D9E">
        <w:rPr>
          <w:b/>
          <w:bCs/>
          <w:i/>
          <w:iCs/>
        </w:rPr>
        <w:t xml:space="preserve"> </w:t>
      </w:r>
      <w:r w:rsidR="00BB4D9E" w:rsidRPr="00BB4D9E">
        <w:rPr>
          <w:i/>
          <w:iCs/>
        </w:rPr>
        <w:t xml:space="preserve">Pursuant to Health and Safety Code Section 13235, </w:t>
      </w:r>
      <w:r w:rsidR="005F1117">
        <w:rPr>
          <w:i/>
          <w:iCs/>
        </w:rPr>
        <w:t>…</w:t>
      </w:r>
      <w:r w:rsidRPr="005032E0">
        <w:rPr>
          <w:i/>
          <w:iCs/>
        </w:rPr>
        <w:t xml:space="preserve">, the local fire enforcing agency, as defined in Section </w:t>
      </w:r>
      <w:r w:rsidRPr="005032E0">
        <w:rPr>
          <w:i/>
          <w:iCs/>
          <w:dstrike/>
        </w:rPr>
        <w:t>13244</w:t>
      </w:r>
      <w:r w:rsidR="005F1117">
        <w:rPr>
          <w:i/>
          <w:iCs/>
        </w:rPr>
        <w:t xml:space="preserve"> </w:t>
      </w:r>
      <w:bookmarkStart w:id="2" w:name="_Hlk181624356"/>
      <w:r w:rsidR="00BB4D9E">
        <w:rPr>
          <w:i/>
          <w:iCs/>
        </w:rPr>
        <w:t>[start d</w:t>
      </w:r>
      <w:r w:rsidR="00BB4D9E" w:rsidRPr="00BB4D9E">
        <w:rPr>
          <w:i/>
          <w:iCs/>
        </w:rPr>
        <w:t>ouble underline</w:t>
      </w:r>
      <w:r w:rsidR="00BB4D9E">
        <w:rPr>
          <w:i/>
          <w:iCs/>
        </w:rPr>
        <w:t>]</w:t>
      </w:r>
      <w:bookmarkEnd w:id="2"/>
      <w:r w:rsidR="00BB4D9E" w:rsidRPr="00BB4D9E">
        <w:rPr>
          <w:i/>
          <w:iCs/>
        </w:rPr>
        <w:t xml:space="preserve"> </w:t>
      </w:r>
      <w:r w:rsidR="005F1117" w:rsidRPr="005F1117">
        <w:rPr>
          <w:i/>
          <w:iCs/>
          <w:u w:val="double"/>
        </w:rPr>
        <w:t>13145 and 13146</w:t>
      </w:r>
      <w:r w:rsidR="00BB4D9E">
        <w:rPr>
          <w:i/>
          <w:iCs/>
          <w:u w:val="double"/>
        </w:rPr>
        <w:t xml:space="preserve"> </w:t>
      </w:r>
      <w:r w:rsidR="00BB4D9E">
        <w:rPr>
          <w:i/>
          <w:iCs/>
        </w:rPr>
        <w:t>[end d</w:t>
      </w:r>
      <w:r w:rsidR="00BB4D9E" w:rsidRPr="00BB4D9E">
        <w:rPr>
          <w:i/>
          <w:iCs/>
        </w:rPr>
        <w:t>ouble underline</w:t>
      </w:r>
      <w:r w:rsidR="00BB4D9E">
        <w:rPr>
          <w:i/>
          <w:iCs/>
        </w:rPr>
        <w:t>]</w:t>
      </w:r>
      <w:r w:rsidRPr="005032E0">
        <w:rPr>
          <w:i/>
          <w:iCs/>
        </w:rPr>
        <w:t xml:space="preserve">, </w:t>
      </w:r>
      <w:r w:rsidR="005F1117">
        <w:rPr>
          <w:i/>
          <w:iCs/>
        </w:rPr>
        <w:t>…</w:t>
      </w:r>
    </w:p>
    <w:p w14:paraId="24FDEFCF" w14:textId="4D0ED925" w:rsidR="00065B04" w:rsidRDefault="00766190" w:rsidP="00BB4D9E">
      <w:pPr>
        <w:spacing w:after="120"/>
        <w:rPr>
          <w:rFonts w:cs="Arial"/>
          <w:bCs/>
        </w:rPr>
      </w:pPr>
      <w:r w:rsidRPr="0044593B">
        <w:rPr>
          <w:rFonts w:cs="Arial"/>
          <w:b/>
        </w:rPr>
        <w:t>Rationale:</w:t>
      </w:r>
      <w:r>
        <w:rPr>
          <w:rFonts w:cs="Arial"/>
          <w:b/>
        </w:rPr>
        <w:t xml:space="preserve"> </w:t>
      </w:r>
      <w:r>
        <w:rPr>
          <w:rFonts w:cs="Arial"/>
          <w:bCs/>
        </w:rPr>
        <w:t xml:space="preserve">The </w:t>
      </w:r>
      <w:r w:rsidR="00E8012A">
        <w:rPr>
          <w:rFonts w:cs="Arial"/>
          <w:bCs/>
        </w:rPr>
        <w:t>Health and Safety Code law section</w:t>
      </w:r>
      <w:r w:rsidR="00E64519">
        <w:rPr>
          <w:rFonts w:cs="Arial"/>
          <w:bCs/>
        </w:rPr>
        <w:t xml:space="preserve"> 13244 </w:t>
      </w:r>
      <w:r w:rsidR="005C193F">
        <w:rPr>
          <w:rFonts w:cs="Arial"/>
          <w:bCs/>
        </w:rPr>
        <w:t xml:space="preserve">is incorrectly referenced as the </w:t>
      </w:r>
      <w:r w:rsidR="00F310FD">
        <w:rPr>
          <w:rFonts w:cs="Arial"/>
          <w:bCs/>
        </w:rPr>
        <w:t>local fire a</w:t>
      </w:r>
      <w:r w:rsidR="009A6124">
        <w:rPr>
          <w:rFonts w:cs="Arial"/>
          <w:bCs/>
        </w:rPr>
        <w:t>g</w:t>
      </w:r>
      <w:r w:rsidR="00F310FD">
        <w:rPr>
          <w:rFonts w:cs="Arial"/>
          <w:bCs/>
        </w:rPr>
        <w:t>ency perform</w:t>
      </w:r>
      <w:r w:rsidR="00B70495">
        <w:rPr>
          <w:rFonts w:cs="Arial"/>
          <w:bCs/>
        </w:rPr>
        <w:t>ing</w:t>
      </w:r>
      <w:r w:rsidR="00F310FD">
        <w:rPr>
          <w:rFonts w:cs="Arial"/>
          <w:bCs/>
        </w:rPr>
        <w:t xml:space="preserve"> fire clearance inspections. The correct Heal</w:t>
      </w:r>
      <w:r w:rsidR="00370010">
        <w:rPr>
          <w:rFonts w:cs="Arial"/>
          <w:bCs/>
        </w:rPr>
        <w:t xml:space="preserve">th and Safety Code section that delegates authority from the State Fire Marshal to the local </w:t>
      </w:r>
      <w:r w:rsidR="004B5440">
        <w:rPr>
          <w:rFonts w:cs="Arial"/>
          <w:bCs/>
        </w:rPr>
        <w:t xml:space="preserve">fire enforcing authority </w:t>
      </w:r>
      <w:r w:rsidR="00BB4D9E">
        <w:rPr>
          <w:rFonts w:cs="Arial"/>
          <w:bCs/>
        </w:rPr>
        <w:t>are</w:t>
      </w:r>
      <w:r w:rsidR="004B5440">
        <w:rPr>
          <w:rFonts w:cs="Arial"/>
          <w:bCs/>
        </w:rPr>
        <w:t xml:space="preserve"> Health and Safety Code </w:t>
      </w:r>
      <w:r w:rsidR="00BB4D9E">
        <w:rPr>
          <w:rFonts w:cs="Arial"/>
          <w:bCs/>
        </w:rPr>
        <w:t xml:space="preserve">Sections </w:t>
      </w:r>
      <w:r w:rsidR="004B5440">
        <w:rPr>
          <w:rFonts w:cs="Arial"/>
          <w:bCs/>
        </w:rPr>
        <w:t xml:space="preserve">13145 and 13146. This is an editorial change </w:t>
      </w:r>
      <w:r w:rsidR="009A6124">
        <w:rPr>
          <w:rFonts w:cs="Arial"/>
          <w:bCs/>
        </w:rPr>
        <w:t>with no regulatory effect.</w:t>
      </w:r>
    </w:p>
    <w:p w14:paraId="42DBB1C3" w14:textId="77777777" w:rsidR="00954BE4" w:rsidRPr="0044593B" w:rsidRDefault="00954BE4" w:rsidP="00954BE4">
      <w:pPr>
        <w:pStyle w:val="Heading4"/>
      </w:pPr>
      <w:r w:rsidRPr="0044593B">
        <w:lastRenderedPageBreak/>
        <w:t>Notation:</w:t>
      </w:r>
    </w:p>
    <w:p w14:paraId="013F63F4" w14:textId="13C5BA20" w:rsidR="00954BE4" w:rsidRPr="0044593B" w:rsidRDefault="00954BE4" w:rsidP="00954BE4">
      <w:pPr>
        <w:spacing w:before="120"/>
        <w:rPr>
          <w:rFonts w:cs="Arial"/>
        </w:rPr>
      </w:pPr>
      <w:r w:rsidRPr="0044593B">
        <w:rPr>
          <w:rFonts w:cs="Arial"/>
        </w:rPr>
        <w:t xml:space="preserve">Authority: </w:t>
      </w:r>
      <w:r w:rsidR="004C19AC" w:rsidRPr="00455DF6">
        <w:rPr>
          <w:rFonts w:cs="Arial"/>
          <w:szCs w:val="24"/>
        </w:rPr>
        <w:t xml:space="preserve">Health and Safety Code Sections </w:t>
      </w:r>
      <w:r w:rsidR="004C19AC" w:rsidRPr="00455DF6">
        <w:rPr>
          <w:rFonts w:cs="Arial"/>
          <w:bCs/>
          <w:szCs w:val="24"/>
        </w:rPr>
        <w:t xml:space="preserve">1250, 1502, 1568.02, 1569.72 - 1569.78, 1597.44 - 1597.65, </w:t>
      </w:r>
      <w:r w:rsidR="004C19AC" w:rsidRPr="00455DF6">
        <w:rPr>
          <w:rFonts w:cs="Arial"/>
          <w:szCs w:val="24"/>
        </w:rPr>
        <w:t xml:space="preserve">13108, </w:t>
      </w:r>
      <w:r w:rsidR="004C19AC" w:rsidRPr="00455DF6">
        <w:rPr>
          <w:rFonts w:cs="Arial"/>
          <w:bCs/>
          <w:szCs w:val="24"/>
        </w:rPr>
        <w:t xml:space="preserve">13108.5, 13114, </w:t>
      </w:r>
      <w:r w:rsidR="004C19AC" w:rsidRPr="00455DF6">
        <w:rPr>
          <w:rFonts w:cs="Arial"/>
          <w:szCs w:val="24"/>
        </w:rPr>
        <w:t xml:space="preserve">13143, </w:t>
      </w:r>
      <w:r w:rsidR="004C19AC" w:rsidRPr="00455DF6">
        <w:rPr>
          <w:rFonts w:cs="Arial"/>
          <w:bCs/>
          <w:szCs w:val="24"/>
        </w:rPr>
        <w:t xml:space="preserve">13143.2, 13143.6, </w:t>
      </w:r>
      <w:r w:rsidR="004C19AC" w:rsidRPr="00455DF6">
        <w:rPr>
          <w:rFonts w:cs="Arial"/>
          <w:szCs w:val="24"/>
        </w:rPr>
        <w:t xml:space="preserve">13145, 13146, 13211, 16022.5, 17921, 18928, 18949.2, 25500 through 25545; Government Code Sections 51176, 51177, 51178, 51179 and 51189; </w:t>
      </w:r>
      <w:r w:rsidR="004C19AC" w:rsidRPr="00455DF6">
        <w:rPr>
          <w:rFonts w:cs="Arial"/>
          <w:bCs/>
          <w:szCs w:val="24"/>
        </w:rPr>
        <w:t xml:space="preserve">Public Education Code 17074.50; </w:t>
      </w:r>
      <w:r w:rsidR="004C19AC" w:rsidRPr="00455DF6">
        <w:rPr>
          <w:rFonts w:cs="Arial"/>
          <w:szCs w:val="24"/>
        </w:rPr>
        <w:t>Public Resources Code Sections 4201 through 4204.</w:t>
      </w:r>
    </w:p>
    <w:p w14:paraId="797A4679" w14:textId="0BEA36D4" w:rsidR="00954BE4" w:rsidRPr="00954BE4" w:rsidRDefault="00954BE4" w:rsidP="00954BE4">
      <w:pPr>
        <w:spacing w:before="120"/>
        <w:rPr>
          <w:rFonts w:cs="Arial"/>
        </w:rPr>
      </w:pPr>
      <w:r w:rsidRPr="0044593B">
        <w:rPr>
          <w:rFonts w:cs="Arial"/>
        </w:rPr>
        <w:t xml:space="preserve">Reference(s): </w:t>
      </w:r>
      <w:r w:rsidR="004C19AC" w:rsidRPr="00455DF6">
        <w:rPr>
          <w:rFonts w:cs="Arial"/>
          <w:szCs w:val="24"/>
        </w:rPr>
        <w:t>Health and Safety Code Sections 13108, 13108.5, 13113, 13113.5, 13114, 13132, 13132.7, 13133, 13135, 13143, 13143.1, 13143.2, 13143.6, 13143.9, 13145, 13146, 13210, 13211, 16022.5, 17921.</w:t>
      </w:r>
    </w:p>
    <w:p w14:paraId="7CB8FE73" w14:textId="6A784609" w:rsidR="00F912D6" w:rsidRPr="00D633EE" w:rsidRDefault="00F912D6" w:rsidP="00954BE4">
      <w:pPr>
        <w:pStyle w:val="Heading3"/>
        <w:spacing w:before="360"/>
        <w:rPr>
          <w:noProof/>
        </w:rPr>
      </w:pPr>
      <w:r w:rsidRPr="00D633EE">
        <w:t xml:space="preserve">ITEM </w:t>
      </w:r>
      <w:r w:rsidRPr="00D633EE">
        <w:rPr>
          <w:noProof/>
        </w:rPr>
        <w:t>3-</w:t>
      </w:r>
      <w:r>
        <w:rPr>
          <w:noProof/>
        </w:rPr>
        <w:t>0</w:t>
      </w:r>
      <w:r w:rsidR="00BB4D9E">
        <w:rPr>
          <w:noProof/>
        </w:rPr>
        <w:t>.0</w:t>
      </w:r>
      <w:r w:rsidRPr="00D633EE">
        <w:rPr>
          <w:snapToGrid/>
        </w:rPr>
        <w:br/>
      </w:r>
      <w:r w:rsidR="000F394C" w:rsidRPr="000F394C">
        <w:t>Chapter 3 Occupancy Classification and Use</w:t>
      </w:r>
      <w:r w:rsidR="000F394C">
        <w:t>,</w:t>
      </w:r>
      <w:r w:rsidR="000F394C">
        <w:br/>
      </w:r>
      <w:r w:rsidRPr="00D633EE">
        <w:t xml:space="preserve">Section </w:t>
      </w:r>
      <w:r>
        <w:rPr>
          <w:noProof/>
        </w:rPr>
        <w:t>304.1 Business Group B</w:t>
      </w:r>
    </w:p>
    <w:p w14:paraId="5E3493FF" w14:textId="77777777" w:rsidR="00BB4D9E" w:rsidRDefault="00B70495" w:rsidP="00BB4D9E">
      <w:pPr>
        <w:spacing w:after="120"/>
        <w:rPr>
          <w:rFonts w:cs="Arial"/>
        </w:rPr>
      </w:pPr>
      <w:r w:rsidRPr="00B70495">
        <w:rPr>
          <w:rFonts w:cs="Arial"/>
          <w:b/>
          <w:bCs/>
        </w:rPr>
        <w:t>304.1 Business Group B.</w:t>
      </w:r>
      <w:r w:rsidR="00BB4D9E">
        <w:rPr>
          <w:rFonts w:cs="Arial"/>
          <w:b/>
          <w:bCs/>
        </w:rPr>
        <w:t xml:space="preserve"> </w:t>
      </w:r>
      <w:r w:rsidRPr="00B70495">
        <w:rPr>
          <w:rFonts w:cs="Arial"/>
        </w:rPr>
        <w:t>Business Group B occupancy includes,</w:t>
      </w:r>
      <w:r w:rsidR="00BB4D9E">
        <w:rPr>
          <w:rFonts w:cs="Arial"/>
        </w:rPr>
        <w:t xml:space="preserve"> </w:t>
      </w:r>
      <w:r w:rsidR="00BB4D9E" w:rsidRPr="00BB4D9E">
        <w:rPr>
          <w:rFonts w:cs="Arial"/>
        </w:rPr>
        <w:t>among others, the use of a building or structure, or a</w:t>
      </w:r>
      <w:r w:rsidR="00BB4D9E">
        <w:rPr>
          <w:rFonts w:cs="Arial"/>
        </w:rPr>
        <w:t xml:space="preserve"> </w:t>
      </w:r>
      <w:r w:rsidR="00BB4D9E" w:rsidRPr="00BB4D9E">
        <w:rPr>
          <w:rFonts w:cs="Arial"/>
        </w:rPr>
        <w:t>portion thereof, for office, professional or service-type transactions,</w:t>
      </w:r>
      <w:r w:rsidR="00BB4D9E">
        <w:rPr>
          <w:rFonts w:cs="Arial"/>
        </w:rPr>
        <w:t xml:space="preserve"> </w:t>
      </w:r>
      <w:r w:rsidR="00BB4D9E" w:rsidRPr="00BB4D9E">
        <w:rPr>
          <w:rFonts w:cs="Arial"/>
        </w:rPr>
        <w:t>including storage of records and accounts. Business</w:t>
      </w:r>
      <w:r w:rsidR="00BB4D9E">
        <w:rPr>
          <w:rFonts w:cs="Arial"/>
        </w:rPr>
        <w:t xml:space="preserve"> </w:t>
      </w:r>
      <w:r w:rsidR="00BB4D9E" w:rsidRPr="00BB4D9E">
        <w:rPr>
          <w:rFonts w:cs="Arial"/>
        </w:rPr>
        <w:t xml:space="preserve">occupancies </w:t>
      </w:r>
      <w:r w:rsidR="00BB4D9E">
        <w:rPr>
          <w:rFonts w:cs="Arial"/>
        </w:rPr>
        <w:t xml:space="preserve">shall </w:t>
      </w:r>
      <w:r w:rsidR="00BB4D9E" w:rsidRPr="00BB4D9E">
        <w:rPr>
          <w:rFonts w:cs="Arial"/>
        </w:rPr>
        <w:t>include, but not be limited to, the</w:t>
      </w:r>
      <w:r w:rsidR="00BB4D9E">
        <w:rPr>
          <w:rFonts w:cs="Arial"/>
        </w:rPr>
        <w:t xml:space="preserve"> </w:t>
      </w:r>
      <w:r w:rsidR="00BB4D9E" w:rsidRPr="00BB4D9E">
        <w:rPr>
          <w:rFonts w:cs="Arial"/>
        </w:rPr>
        <w:t xml:space="preserve">following: </w:t>
      </w:r>
    </w:p>
    <w:p w14:paraId="0334EAA1" w14:textId="2B3653AB" w:rsidR="00B70495" w:rsidRPr="00BB4D9E" w:rsidRDefault="00B70495" w:rsidP="00BB4D9E">
      <w:pPr>
        <w:spacing w:after="120"/>
        <w:ind w:left="720"/>
        <w:rPr>
          <w:rFonts w:cs="Arial"/>
        </w:rPr>
      </w:pPr>
      <w:r>
        <w:rPr>
          <w:rFonts w:cs="Arial"/>
        </w:rPr>
        <w:t>…</w:t>
      </w:r>
    </w:p>
    <w:p w14:paraId="264169B1" w14:textId="01D1355B" w:rsidR="00B70495" w:rsidRDefault="00B70495" w:rsidP="00BB4D9E">
      <w:pPr>
        <w:ind w:left="720"/>
        <w:rPr>
          <w:rFonts w:cs="Arial"/>
          <w:i/>
          <w:iCs/>
          <w:dstrike/>
        </w:rPr>
      </w:pPr>
      <w:r w:rsidRPr="00B70495">
        <w:rPr>
          <w:rFonts w:cs="Arial"/>
        </w:rPr>
        <w:t>Ambulatory care facilities </w:t>
      </w:r>
      <w:r w:rsidRPr="00B70495">
        <w:rPr>
          <w:rFonts w:cs="Arial"/>
          <w:i/>
          <w:iCs/>
          <w:dstrike/>
        </w:rPr>
        <w:t>serving four or more patient</w:t>
      </w:r>
      <w:r w:rsidR="00717291">
        <w:rPr>
          <w:rFonts w:cs="Arial"/>
          <w:i/>
          <w:iCs/>
          <w:dstrike/>
        </w:rPr>
        <w:t>s</w:t>
      </w:r>
    </w:p>
    <w:p w14:paraId="0005F44E" w14:textId="0687D3E1" w:rsidR="00BB4D9E" w:rsidRPr="00BB4D9E" w:rsidRDefault="00BB4D9E" w:rsidP="00BB4D9E">
      <w:pPr>
        <w:spacing w:after="120"/>
        <w:ind w:left="720"/>
        <w:rPr>
          <w:rFonts w:cs="Arial"/>
        </w:rPr>
      </w:pPr>
      <w:r>
        <w:rPr>
          <w:rFonts w:cs="Arial"/>
        </w:rPr>
        <w:t>…</w:t>
      </w:r>
    </w:p>
    <w:p w14:paraId="71BF6D57" w14:textId="23D812F7" w:rsidR="00B70495" w:rsidRDefault="00B70495" w:rsidP="00BB4D9E">
      <w:pPr>
        <w:spacing w:after="120"/>
        <w:rPr>
          <w:rFonts w:cs="Arial"/>
          <w:bCs/>
        </w:rPr>
      </w:pPr>
      <w:r w:rsidRPr="0044593B">
        <w:rPr>
          <w:rFonts w:cs="Arial"/>
          <w:b/>
        </w:rPr>
        <w:t>Rationale:</w:t>
      </w:r>
      <w:r>
        <w:rPr>
          <w:rFonts w:cs="Arial"/>
          <w:b/>
        </w:rPr>
        <w:t xml:space="preserve"> </w:t>
      </w:r>
      <w:r>
        <w:rPr>
          <w:rFonts w:cs="Arial"/>
          <w:bCs/>
        </w:rPr>
        <w:t xml:space="preserve">In </w:t>
      </w:r>
      <w:r w:rsidR="00E35298">
        <w:rPr>
          <w:rFonts w:cs="Arial"/>
          <w:bCs/>
        </w:rPr>
        <w:t>the </w:t>
      </w:r>
      <w:r w:rsidR="00B361D4">
        <w:rPr>
          <w:rFonts w:cs="Arial"/>
          <w:bCs/>
        </w:rPr>
        <w:t>2022 Intervening Code Cy</w:t>
      </w:r>
      <w:r w:rsidR="00A5353C">
        <w:rPr>
          <w:rFonts w:cs="Arial"/>
          <w:bCs/>
        </w:rPr>
        <w:t>c</w:t>
      </w:r>
      <w:r w:rsidR="00B361D4">
        <w:rPr>
          <w:rFonts w:cs="Arial"/>
          <w:bCs/>
        </w:rPr>
        <w:t>le</w:t>
      </w:r>
      <w:r w:rsidR="00A5353C">
        <w:rPr>
          <w:rFonts w:cs="Arial"/>
          <w:bCs/>
        </w:rPr>
        <w:t>,</w:t>
      </w:r>
      <w:r w:rsidR="00B361D4">
        <w:rPr>
          <w:rFonts w:cs="Arial"/>
          <w:bCs/>
        </w:rPr>
        <w:t xml:space="preserve"> the SFM proposed to remove the reference to Group I-2.1 and </w:t>
      </w:r>
      <w:r w:rsidR="00A5353C">
        <w:rPr>
          <w:rFonts w:cs="Arial"/>
          <w:bCs/>
        </w:rPr>
        <w:t>utilize the model code provisions for Group B Ambulatory Care facilities.</w:t>
      </w:r>
      <w:r w:rsidR="0097467B">
        <w:rPr>
          <w:rFonts w:cs="Arial"/>
          <w:bCs/>
        </w:rPr>
        <w:t xml:space="preserve"> The California a</w:t>
      </w:r>
      <w:r w:rsidR="00AA1C11">
        <w:rPr>
          <w:rFonts w:cs="Arial"/>
          <w:bCs/>
        </w:rPr>
        <w:t xml:space="preserve">mendment in Chapter </w:t>
      </w:r>
      <w:r w:rsidR="00EE2D07">
        <w:rPr>
          <w:rFonts w:cs="Arial"/>
          <w:bCs/>
        </w:rPr>
        <w:t>3</w:t>
      </w:r>
      <w:r w:rsidR="00E35298" w:rsidRPr="00E35298">
        <w:rPr>
          <w:rFonts w:cs="Arial"/>
          <w:bCs/>
        </w:rPr>
        <w:t xml:space="preserve"> has been identified as conflict</w:t>
      </w:r>
      <w:r w:rsidR="00EE2D07">
        <w:rPr>
          <w:rFonts w:cs="Arial"/>
          <w:bCs/>
        </w:rPr>
        <w:t>ing</w:t>
      </w:r>
      <w:r w:rsidR="00E35298" w:rsidRPr="00E35298">
        <w:rPr>
          <w:rFonts w:cs="Arial"/>
          <w:bCs/>
        </w:rPr>
        <w:t xml:space="preserve"> with the Chapter 2 definition of an </w:t>
      </w:r>
      <w:r w:rsidR="00FE0B77">
        <w:rPr>
          <w:rFonts w:cs="Arial"/>
          <w:bCs/>
        </w:rPr>
        <w:t xml:space="preserve">Ambulatory care facility. This </w:t>
      </w:r>
      <w:r w:rsidR="00555BB7">
        <w:rPr>
          <w:rFonts w:cs="Arial"/>
          <w:bCs/>
        </w:rPr>
        <w:t>editorial fix also aligns with the provisions of Part 9, the California Fire Code</w:t>
      </w:r>
      <w:r w:rsidR="00E35298">
        <w:rPr>
          <w:rFonts w:cs="Arial"/>
          <w:bCs/>
        </w:rPr>
        <w:t>,</w:t>
      </w:r>
      <w:r w:rsidR="00555BB7">
        <w:rPr>
          <w:rFonts w:cs="Arial"/>
          <w:bCs/>
        </w:rPr>
        <w:t xml:space="preserve"> where th</w:t>
      </w:r>
      <w:r w:rsidR="00E35298">
        <w:rPr>
          <w:rFonts w:cs="Arial"/>
          <w:bCs/>
        </w:rPr>
        <w:t>e amendment was correctly not proposed.</w:t>
      </w:r>
    </w:p>
    <w:p w14:paraId="1BE2F113" w14:textId="77777777" w:rsidR="00954BE4" w:rsidRPr="0044593B" w:rsidRDefault="00954BE4" w:rsidP="00954BE4">
      <w:pPr>
        <w:pStyle w:val="Heading4"/>
      </w:pPr>
      <w:r w:rsidRPr="0044593B">
        <w:t>Notation:</w:t>
      </w:r>
    </w:p>
    <w:p w14:paraId="6C472151" w14:textId="7CDE1176" w:rsidR="00954BE4" w:rsidRPr="0044593B" w:rsidRDefault="00954BE4" w:rsidP="00954BE4">
      <w:pPr>
        <w:spacing w:before="120"/>
        <w:rPr>
          <w:rFonts w:cs="Arial"/>
        </w:rPr>
      </w:pPr>
      <w:r w:rsidRPr="0044593B">
        <w:rPr>
          <w:rFonts w:cs="Arial"/>
        </w:rPr>
        <w:t xml:space="preserve">Authority: </w:t>
      </w:r>
      <w:r w:rsidR="004C19AC" w:rsidRPr="00455DF6">
        <w:rPr>
          <w:rFonts w:cs="Arial"/>
          <w:szCs w:val="24"/>
        </w:rPr>
        <w:t xml:space="preserve">Health and Safety Code Sections </w:t>
      </w:r>
      <w:r w:rsidR="004C19AC" w:rsidRPr="00455DF6">
        <w:rPr>
          <w:rFonts w:cs="Arial"/>
          <w:bCs/>
          <w:szCs w:val="24"/>
        </w:rPr>
        <w:t xml:space="preserve">1250, 1502, 1568.02, 1569.72 - 1569.78, 1597.44 - 1597.65, </w:t>
      </w:r>
      <w:r w:rsidR="004C19AC" w:rsidRPr="00455DF6">
        <w:rPr>
          <w:rFonts w:cs="Arial"/>
          <w:szCs w:val="24"/>
        </w:rPr>
        <w:t xml:space="preserve">13108, </w:t>
      </w:r>
      <w:r w:rsidR="004C19AC" w:rsidRPr="00455DF6">
        <w:rPr>
          <w:rFonts w:cs="Arial"/>
          <w:bCs/>
          <w:szCs w:val="24"/>
        </w:rPr>
        <w:t xml:space="preserve">13108.5, 13114, </w:t>
      </w:r>
      <w:r w:rsidR="004C19AC" w:rsidRPr="00455DF6">
        <w:rPr>
          <w:rFonts w:cs="Arial"/>
          <w:szCs w:val="24"/>
        </w:rPr>
        <w:t xml:space="preserve">13143, </w:t>
      </w:r>
      <w:r w:rsidR="004C19AC" w:rsidRPr="00455DF6">
        <w:rPr>
          <w:rFonts w:cs="Arial"/>
          <w:bCs/>
          <w:szCs w:val="24"/>
        </w:rPr>
        <w:t xml:space="preserve">13143.2, 13143.6, </w:t>
      </w:r>
      <w:r w:rsidR="004C19AC" w:rsidRPr="00455DF6">
        <w:rPr>
          <w:rFonts w:cs="Arial"/>
          <w:szCs w:val="24"/>
        </w:rPr>
        <w:t xml:space="preserve">13145, 13146, 13211, 16022.5, 17921, 18928, 18949.2, 25500 through 25545; Government Code Sections 51176, 51177, 51178, 51179 and 51189; </w:t>
      </w:r>
      <w:r w:rsidR="004C19AC" w:rsidRPr="00455DF6">
        <w:rPr>
          <w:rFonts w:cs="Arial"/>
          <w:bCs/>
          <w:szCs w:val="24"/>
        </w:rPr>
        <w:t xml:space="preserve">Public Education Code 17074.50; </w:t>
      </w:r>
      <w:r w:rsidR="004C19AC" w:rsidRPr="00455DF6">
        <w:rPr>
          <w:rFonts w:cs="Arial"/>
          <w:szCs w:val="24"/>
        </w:rPr>
        <w:t>Public Resources Code Sections 4201 through 4204.</w:t>
      </w:r>
    </w:p>
    <w:p w14:paraId="4C05F03F" w14:textId="0DC0C125" w:rsidR="00954BE4" w:rsidRPr="00954BE4" w:rsidRDefault="00954BE4" w:rsidP="00954BE4">
      <w:pPr>
        <w:spacing w:before="120"/>
        <w:rPr>
          <w:rFonts w:cs="Arial"/>
        </w:rPr>
      </w:pPr>
      <w:r w:rsidRPr="0044593B">
        <w:rPr>
          <w:rFonts w:cs="Arial"/>
        </w:rPr>
        <w:t xml:space="preserve">Reference(s): </w:t>
      </w:r>
      <w:r w:rsidR="004C19AC" w:rsidRPr="00455DF6">
        <w:rPr>
          <w:rFonts w:cs="Arial"/>
          <w:szCs w:val="24"/>
        </w:rPr>
        <w:t>Health and Safety Code Sections 13108, 13108.5, 13113, 13113.5, 13114, 13132, 13132.7, 13133, 13135, 13143, 13143.1, 13143.2, 13143.6, 13143.9, 13145, 13146, 13210, 13211, 16022.5, 17921.</w:t>
      </w:r>
    </w:p>
    <w:p w14:paraId="15158676" w14:textId="77777777" w:rsidR="00F705EA" w:rsidRPr="00F705EA" w:rsidRDefault="00F705EA" w:rsidP="00954BE4">
      <w:pPr>
        <w:pStyle w:val="Heading3"/>
        <w:spacing w:before="360"/>
      </w:pPr>
      <w:r w:rsidRPr="00F705EA">
        <w:t>ITEM 3-1.3</w:t>
      </w:r>
      <w:r w:rsidRPr="00F705EA">
        <w:br/>
        <w:t xml:space="preserve">Chapter 3, Section 308.5.1 </w:t>
      </w:r>
      <w:r w:rsidRPr="00F705EA">
        <w:rPr>
          <w:i/>
          <w:iCs/>
        </w:rPr>
        <w:t>Reserved</w:t>
      </w:r>
      <w:r w:rsidRPr="00F705EA">
        <w:t xml:space="preserve">. </w:t>
      </w:r>
      <w:bookmarkStart w:id="3" w:name="_Hlk180142701"/>
      <w:r w:rsidRPr="00F705EA">
        <w:t>Classification as Group E.</w:t>
      </w:r>
      <w:r w:rsidRPr="00F705EA">
        <w:br/>
      </w:r>
      <w:r w:rsidRPr="00F705EA">
        <w:rPr>
          <w:i/>
          <w:iCs/>
        </w:rPr>
        <w:t>Special provisions</w:t>
      </w:r>
      <w:r w:rsidRPr="00F705EA">
        <w:t>.</w:t>
      </w:r>
      <w:bookmarkEnd w:id="3"/>
    </w:p>
    <w:p w14:paraId="21082ED4" w14:textId="77777777" w:rsidR="00954BE4" w:rsidRPr="00A549C6" w:rsidRDefault="00954BE4" w:rsidP="00954BE4">
      <w:pPr>
        <w:widowControl/>
        <w:snapToGrid w:val="0"/>
        <w:spacing w:after="120"/>
        <w:rPr>
          <w:rFonts w:cs="Arial"/>
          <w:bCs/>
          <w:snapToGrid/>
          <w:szCs w:val="24"/>
          <w14:ligatures w14:val="standardContextual"/>
        </w:rPr>
      </w:pPr>
      <w:r w:rsidRPr="00A549C6">
        <w:rPr>
          <w:rFonts w:cs="Arial"/>
          <w:snapToGrid/>
          <w:szCs w:val="24"/>
          <w14:ligatures w14:val="standardContextual"/>
        </w:rPr>
        <w:t>[</w:t>
      </w:r>
      <w:r w:rsidRPr="00364DB6">
        <w:rPr>
          <w:rFonts w:cs="Arial"/>
          <w:snapToGrid/>
          <w:szCs w:val="24"/>
          <w14:ligatures w14:val="standardContextual"/>
        </w:rPr>
        <w:t>The SFM proposes to adopt the model code with modifications as shown below</w:t>
      </w:r>
      <w:r w:rsidRPr="00A549C6">
        <w:rPr>
          <w:rFonts w:cs="Arial"/>
          <w:bCs/>
          <w:snapToGrid/>
          <w:szCs w:val="24"/>
          <w14:ligatures w14:val="standardContextual"/>
        </w:rPr>
        <w:t>.]</w:t>
      </w:r>
    </w:p>
    <w:p w14:paraId="791EBE33" w14:textId="77777777" w:rsidR="00F705EA" w:rsidRPr="00F705EA" w:rsidRDefault="00F705EA" w:rsidP="00BB4D9E">
      <w:pPr>
        <w:spacing w:after="120"/>
        <w:rPr>
          <w:rFonts w:cs="Arial"/>
          <w:u w:val="single"/>
        </w:rPr>
      </w:pPr>
      <w:r w:rsidRPr="00F705EA">
        <w:rPr>
          <w:rFonts w:cs="Arial"/>
          <w:b/>
          <w:bCs/>
        </w:rPr>
        <w:t xml:space="preserve">308.5.1 </w:t>
      </w:r>
      <w:r w:rsidRPr="00F705EA">
        <w:rPr>
          <w:rFonts w:cs="Arial"/>
          <w:b/>
          <w:bCs/>
          <w:i/>
          <w:iCs/>
          <w:strike/>
        </w:rPr>
        <w:t>Reserved</w:t>
      </w:r>
      <w:r w:rsidRPr="00F705EA">
        <w:rPr>
          <w:rFonts w:cs="Arial"/>
          <w:b/>
          <w:bCs/>
          <w:strike/>
        </w:rPr>
        <w:t>.</w:t>
      </w:r>
      <w:r w:rsidRPr="00F705EA">
        <w:rPr>
          <w:rFonts w:cs="Arial"/>
          <w:b/>
          <w:bCs/>
        </w:rPr>
        <w:t xml:space="preserve"> Classification as Group E. </w:t>
      </w:r>
      <w:r w:rsidRPr="00F705EA">
        <w:rPr>
          <w:rFonts w:cs="Arial"/>
        </w:rPr>
        <w:t xml:space="preserve">A child day care facility that provides care for more than </w:t>
      </w:r>
      <w:r w:rsidRPr="00F705EA">
        <w:rPr>
          <w:rFonts w:cs="Arial"/>
          <w:strike/>
        </w:rPr>
        <w:t>five</w:t>
      </w:r>
      <w:r w:rsidRPr="00F705EA">
        <w:rPr>
          <w:rFonts w:cs="Arial"/>
        </w:rPr>
        <w:t xml:space="preserve"> </w:t>
      </w:r>
      <w:r w:rsidRPr="002A30A8">
        <w:rPr>
          <w:rFonts w:cs="Arial"/>
          <w:i/>
          <w:iCs/>
          <w:u w:val="single"/>
        </w:rPr>
        <w:t>six</w:t>
      </w:r>
      <w:r w:rsidRPr="002A30A8">
        <w:rPr>
          <w:rFonts w:cs="Arial"/>
          <w:u w:val="single"/>
        </w:rPr>
        <w:t xml:space="preserve"> </w:t>
      </w:r>
      <w:r w:rsidRPr="00F705EA">
        <w:rPr>
          <w:rFonts w:cs="Arial"/>
        </w:rPr>
        <w:t>but not more than 100 children</w:t>
      </w:r>
      <w:r w:rsidRPr="00F705EA">
        <w:rPr>
          <w:rFonts w:cs="Arial"/>
          <w:u w:val="single"/>
        </w:rPr>
        <w:t xml:space="preserve"> </w:t>
      </w:r>
      <w:r w:rsidRPr="00F705EA">
        <w:rPr>
          <w:rFonts w:cs="Arial"/>
          <w:i/>
          <w:iCs/>
          <w:u w:val="single"/>
        </w:rPr>
        <w:t>under 36 months of age</w:t>
      </w:r>
      <w:r w:rsidRPr="00F705EA">
        <w:rPr>
          <w:rFonts w:cs="Arial"/>
          <w:u w:val="single"/>
        </w:rPr>
        <w:t xml:space="preserve">, </w:t>
      </w:r>
      <w:r w:rsidRPr="00F705EA">
        <w:rPr>
          <w:rFonts w:cs="Arial"/>
        </w:rPr>
        <w:lastRenderedPageBreak/>
        <w:t>where the rooms in which the children are cared for are located on a level of exit discharge serving such rooms and each of these child-care rooms has an exit door directly to the exterior, shall be classified as Group E.</w:t>
      </w:r>
    </w:p>
    <w:p w14:paraId="0FD11507" w14:textId="16B1CCC6" w:rsidR="00F705EA" w:rsidRPr="00BB4D9E" w:rsidRDefault="002A30A8" w:rsidP="002A30A8">
      <w:pPr>
        <w:spacing w:after="120"/>
        <w:ind w:left="720"/>
        <w:rPr>
          <w:rFonts w:cs="Arial"/>
          <w:i/>
          <w:iCs/>
          <w:u w:val="double"/>
        </w:rPr>
      </w:pPr>
      <w:r>
        <w:rPr>
          <w:i/>
          <w:iCs/>
        </w:rPr>
        <w:t>[start d</w:t>
      </w:r>
      <w:r w:rsidRPr="00BB4D9E">
        <w:rPr>
          <w:i/>
          <w:iCs/>
        </w:rPr>
        <w:t>ouble underline</w:t>
      </w:r>
      <w:r>
        <w:rPr>
          <w:i/>
          <w:iCs/>
        </w:rPr>
        <w:t xml:space="preserve">] </w:t>
      </w:r>
      <w:r w:rsidR="00F705EA" w:rsidRPr="00F705EA">
        <w:rPr>
          <w:rFonts w:cs="Arial"/>
          <w:b/>
          <w:bCs/>
          <w:i/>
          <w:iCs/>
          <w:u w:val="double"/>
        </w:rPr>
        <w:t xml:space="preserve">308.5.1.1 Special provisions. </w:t>
      </w:r>
      <w:r w:rsidR="00F705EA" w:rsidRPr="00F705EA">
        <w:rPr>
          <w:rFonts w:cs="Arial"/>
          <w:i/>
          <w:iCs/>
          <w:u w:val="double"/>
        </w:rPr>
        <w:t>See Section 452.1.4 of the California Building Code for child- care locations above or below the first story.</w:t>
      </w:r>
      <w:r w:rsidRPr="002A30A8">
        <w:rPr>
          <w:i/>
          <w:iCs/>
        </w:rPr>
        <w:t xml:space="preserve"> </w:t>
      </w:r>
      <w:r>
        <w:rPr>
          <w:i/>
          <w:iCs/>
        </w:rPr>
        <w:t>[end d</w:t>
      </w:r>
      <w:r w:rsidRPr="00BB4D9E">
        <w:rPr>
          <w:i/>
          <w:iCs/>
        </w:rPr>
        <w:t>ouble underline</w:t>
      </w:r>
      <w:r>
        <w:rPr>
          <w:i/>
          <w:iCs/>
        </w:rPr>
        <w:t>]</w:t>
      </w:r>
    </w:p>
    <w:p w14:paraId="3CB5066C" w14:textId="513BAEE3" w:rsidR="00BE4112" w:rsidRDefault="00BE4112" w:rsidP="00BB4D9E">
      <w:pPr>
        <w:spacing w:after="120"/>
        <w:rPr>
          <w:rFonts w:cs="Arial"/>
        </w:rPr>
      </w:pPr>
      <w:r>
        <w:rPr>
          <w:rFonts w:cs="Arial"/>
          <w:b/>
          <w:bCs/>
        </w:rPr>
        <w:t xml:space="preserve">Rationale: </w:t>
      </w:r>
      <w:r w:rsidR="00F705EA" w:rsidRPr="00F705EA">
        <w:rPr>
          <w:rFonts w:cs="Arial"/>
        </w:rPr>
        <w:t xml:space="preserve">The </w:t>
      </w:r>
      <w:r w:rsidR="002A30A8">
        <w:rPr>
          <w:rFonts w:cs="Arial"/>
        </w:rPr>
        <w:t xml:space="preserve">45-day </w:t>
      </w:r>
      <w:r w:rsidR="00F705EA" w:rsidRPr="00F705EA">
        <w:rPr>
          <w:rFonts w:cs="Arial"/>
        </w:rPr>
        <w:t xml:space="preserve">Express Terms for this </w:t>
      </w:r>
      <w:r w:rsidR="008D0DFD">
        <w:rPr>
          <w:rFonts w:cs="Arial"/>
        </w:rPr>
        <w:t>proposal</w:t>
      </w:r>
      <w:r w:rsidR="00F705EA" w:rsidRPr="00F705EA">
        <w:rPr>
          <w:rFonts w:cs="Arial"/>
        </w:rPr>
        <w:t xml:space="preserve"> </w:t>
      </w:r>
      <w:r w:rsidR="008D0DFD">
        <w:rPr>
          <w:rFonts w:cs="Arial"/>
        </w:rPr>
        <w:t>is proposed to be</w:t>
      </w:r>
      <w:r w:rsidR="00F705EA" w:rsidRPr="00F705EA">
        <w:rPr>
          <w:rFonts w:cs="Arial"/>
        </w:rPr>
        <w:t xml:space="preserve"> editorially corrected to accurately indicate the addition of </w:t>
      </w:r>
      <w:r w:rsidR="008D0DFD">
        <w:rPr>
          <w:rFonts w:cs="Arial"/>
        </w:rPr>
        <w:t xml:space="preserve">Section 308.5.1.1 </w:t>
      </w:r>
      <w:r w:rsidR="00F705EA" w:rsidRPr="00F705EA">
        <w:rPr>
          <w:rFonts w:cs="Arial"/>
        </w:rPr>
        <w:t>with underlined text</w:t>
      </w:r>
      <w:r>
        <w:rPr>
          <w:rFonts w:cs="Arial"/>
        </w:rPr>
        <w:t>.</w:t>
      </w:r>
      <w:r w:rsidR="008D0DFD">
        <w:rPr>
          <w:rFonts w:cs="Arial"/>
        </w:rPr>
        <w:t xml:space="preserve"> The underline was accidentally missed, and the new amendment was incorrectly shown as an existing amendment.</w:t>
      </w:r>
    </w:p>
    <w:p w14:paraId="4C121302" w14:textId="77777777" w:rsidR="00954BE4" w:rsidRPr="0044593B" w:rsidRDefault="00954BE4" w:rsidP="00954BE4">
      <w:pPr>
        <w:pStyle w:val="Heading4"/>
      </w:pPr>
      <w:r w:rsidRPr="0044593B">
        <w:t>Notation:</w:t>
      </w:r>
    </w:p>
    <w:p w14:paraId="6C6FFF67" w14:textId="1549CB6B" w:rsidR="00954BE4" w:rsidRPr="0044593B" w:rsidRDefault="00954BE4" w:rsidP="00954BE4">
      <w:pPr>
        <w:spacing w:before="120"/>
        <w:rPr>
          <w:rFonts w:cs="Arial"/>
        </w:rPr>
      </w:pPr>
      <w:r w:rsidRPr="0044593B">
        <w:rPr>
          <w:rFonts w:cs="Arial"/>
        </w:rPr>
        <w:t xml:space="preserve">Authority: </w:t>
      </w:r>
      <w:r w:rsidR="004C19AC" w:rsidRPr="00455DF6">
        <w:rPr>
          <w:rFonts w:cs="Arial"/>
          <w:szCs w:val="24"/>
        </w:rPr>
        <w:t xml:space="preserve">Health and Safety Code Sections </w:t>
      </w:r>
      <w:r w:rsidR="004C19AC" w:rsidRPr="00455DF6">
        <w:rPr>
          <w:rFonts w:cs="Arial"/>
          <w:bCs/>
          <w:szCs w:val="24"/>
        </w:rPr>
        <w:t xml:space="preserve">1250, 1502, 1568.02, 1569.72 - 1569.78, 1597.44 - 1597.65, </w:t>
      </w:r>
      <w:r w:rsidR="004C19AC" w:rsidRPr="00455DF6">
        <w:rPr>
          <w:rFonts w:cs="Arial"/>
          <w:szCs w:val="24"/>
        </w:rPr>
        <w:t xml:space="preserve">13108, </w:t>
      </w:r>
      <w:r w:rsidR="004C19AC" w:rsidRPr="00455DF6">
        <w:rPr>
          <w:rFonts w:cs="Arial"/>
          <w:bCs/>
          <w:szCs w:val="24"/>
        </w:rPr>
        <w:t xml:space="preserve">13108.5, 13114, </w:t>
      </w:r>
      <w:r w:rsidR="004C19AC" w:rsidRPr="00455DF6">
        <w:rPr>
          <w:rFonts w:cs="Arial"/>
          <w:szCs w:val="24"/>
        </w:rPr>
        <w:t xml:space="preserve">13143, </w:t>
      </w:r>
      <w:r w:rsidR="004C19AC" w:rsidRPr="00455DF6">
        <w:rPr>
          <w:rFonts w:cs="Arial"/>
          <w:bCs/>
          <w:szCs w:val="24"/>
        </w:rPr>
        <w:t xml:space="preserve">13143.2, 13143.6, </w:t>
      </w:r>
      <w:r w:rsidR="004C19AC" w:rsidRPr="00455DF6">
        <w:rPr>
          <w:rFonts w:cs="Arial"/>
          <w:szCs w:val="24"/>
        </w:rPr>
        <w:t xml:space="preserve">13145, 13146, 13211, 16022.5, 17921, 18928, 18949.2, 25500 through 25545; Government Code Sections 51176, 51177, 51178, 51179 and 51189; </w:t>
      </w:r>
      <w:r w:rsidR="004C19AC" w:rsidRPr="00455DF6">
        <w:rPr>
          <w:rFonts w:cs="Arial"/>
          <w:bCs/>
          <w:szCs w:val="24"/>
        </w:rPr>
        <w:t xml:space="preserve">Public Education Code 17074.50; </w:t>
      </w:r>
      <w:r w:rsidR="004C19AC" w:rsidRPr="00455DF6">
        <w:rPr>
          <w:rFonts w:cs="Arial"/>
          <w:szCs w:val="24"/>
        </w:rPr>
        <w:t>Public Resources Code Sections 4201 through 4204.</w:t>
      </w:r>
    </w:p>
    <w:p w14:paraId="1B8AA4D9" w14:textId="7AF37B31" w:rsidR="003417BA" w:rsidRDefault="00954BE4" w:rsidP="00954BE4">
      <w:pPr>
        <w:spacing w:before="120"/>
        <w:rPr>
          <w:rFonts w:cs="Arial"/>
          <w:szCs w:val="24"/>
        </w:rPr>
      </w:pPr>
      <w:r w:rsidRPr="0044593B">
        <w:rPr>
          <w:rFonts w:cs="Arial"/>
        </w:rPr>
        <w:t xml:space="preserve">Reference(s): </w:t>
      </w:r>
      <w:r w:rsidR="004C19AC" w:rsidRPr="00455DF6">
        <w:rPr>
          <w:rFonts w:cs="Arial"/>
          <w:szCs w:val="24"/>
        </w:rPr>
        <w:t>Health and Safety Code Sections 13108, 13108.5, 13113, 13113.5, 13114, 13132, 13132.7, 13133, 13135, 13143, 13143.1, 13143.2, 13143.6, 13143.9, 13145, 13146, 13210, 13211, 16022.5, 17921.</w:t>
      </w:r>
    </w:p>
    <w:p w14:paraId="0BEB217C" w14:textId="076F995C" w:rsidR="00236E83" w:rsidRDefault="00236E83" w:rsidP="00236E83">
      <w:pPr>
        <w:pStyle w:val="Heading3"/>
        <w:spacing w:before="360"/>
        <w:rPr>
          <w:rFonts w:ascii="Aptos" w:hAnsi="Aptos"/>
          <w:snapToGrid/>
          <w:sz w:val="22"/>
        </w:rPr>
      </w:pPr>
      <w:r>
        <w:t>ITEM 10-12.1</w:t>
      </w:r>
      <w:r>
        <w:br/>
      </w:r>
      <w:r w:rsidR="000F394C" w:rsidRPr="000F394C">
        <w:t>Chapter 9 Fire Protection and Life Safety Systems</w:t>
      </w:r>
      <w:r w:rsidR="000F394C">
        <w:t>,</w:t>
      </w:r>
      <w:r w:rsidR="000F394C">
        <w:br/>
      </w:r>
      <w:r>
        <w:t>Section 907.2.9.3 Group R-2 college and university buildings</w:t>
      </w:r>
    </w:p>
    <w:p w14:paraId="567037A9" w14:textId="77777777" w:rsidR="00236E83" w:rsidRPr="003417BA" w:rsidRDefault="00236E83" w:rsidP="00236E83">
      <w:pPr>
        <w:spacing w:after="120"/>
        <w:rPr>
          <w:b/>
          <w:bCs/>
        </w:rPr>
      </w:pPr>
      <w:r>
        <w:rPr>
          <w:b/>
          <w:bCs/>
        </w:rPr>
        <w:t xml:space="preserve">907.2.9.3.Group R-2 college and university buildings. </w:t>
      </w:r>
      <w:r>
        <w:t xml:space="preserve">An automatic smoke detection system that activates the occupant notification system in accordance with </w:t>
      </w:r>
      <w:r w:rsidRPr="00F24F13">
        <w:t>Section 907.5</w:t>
      </w:r>
      <w:r>
        <w:t xml:space="preserve"> shall be installed in Group R-2 occupancies operated by a college or university for student or staff housing in all of the following locations:</w:t>
      </w:r>
    </w:p>
    <w:p w14:paraId="2A142F47" w14:textId="77777777" w:rsidR="00236E83" w:rsidRDefault="00236E83" w:rsidP="00236E83">
      <w:pPr>
        <w:widowControl/>
        <w:numPr>
          <w:ilvl w:val="0"/>
          <w:numId w:val="45"/>
        </w:numPr>
        <w:spacing w:after="120"/>
      </w:pPr>
      <w:r>
        <w:t>Common spaces outside of dwelling units and sleeping units.</w:t>
      </w:r>
    </w:p>
    <w:p w14:paraId="63668B4F" w14:textId="77777777" w:rsidR="00236E83" w:rsidRDefault="00236E83" w:rsidP="00236E83">
      <w:pPr>
        <w:widowControl/>
        <w:numPr>
          <w:ilvl w:val="0"/>
          <w:numId w:val="45"/>
        </w:numPr>
        <w:spacing w:after="120"/>
      </w:pPr>
      <w:r>
        <w:t>Laundry rooms, mechanical equipment rooms and storage rooms.</w:t>
      </w:r>
    </w:p>
    <w:p w14:paraId="6FFB51B4" w14:textId="77777777" w:rsidR="00236E83" w:rsidRDefault="00236E83" w:rsidP="00236E83">
      <w:pPr>
        <w:widowControl/>
        <w:numPr>
          <w:ilvl w:val="0"/>
          <w:numId w:val="45"/>
        </w:numPr>
        <w:spacing w:after="120"/>
      </w:pPr>
      <w:r>
        <w:t>All interior corridors serving sleeping units or dwelling units.</w:t>
      </w:r>
    </w:p>
    <w:p w14:paraId="177A57D6" w14:textId="77777777" w:rsidR="00236E83" w:rsidRPr="003417BA" w:rsidRDefault="00236E83" w:rsidP="00236E83">
      <w:pPr>
        <w:spacing w:after="120"/>
        <w:rPr>
          <w:rFonts w:eastAsiaTheme="minorHAnsi"/>
        </w:rPr>
      </w:pPr>
      <w:r>
        <w:t xml:space="preserve">Required smoke </w:t>
      </w:r>
      <w:r w:rsidRPr="00F24F13">
        <w:rPr>
          <w:dstrike/>
        </w:rPr>
        <w:t xml:space="preserve">alarms </w:t>
      </w:r>
      <w:r w:rsidRPr="00F24F13">
        <w:rPr>
          <w:i/>
          <w:iCs/>
          <w:dstrike/>
        </w:rPr>
        <w:t>and</w:t>
      </w:r>
      <w:r>
        <w:rPr>
          <w:i/>
          <w:iCs/>
        </w:rPr>
        <w:t xml:space="preserve"> detectors listed in accordance with</w:t>
      </w:r>
      <w:r w:rsidRPr="00F24F13">
        <w:rPr>
          <w:i/>
          <w:iCs/>
        </w:rPr>
        <w:t xml:space="preserve"> UL 268</w:t>
      </w:r>
      <w:r>
        <w:rPr>
          <w:i/>
          <w:iCs/>
        </w:rPr>
        <w:t>,</w:t>
      </w:r>
      <w:r>
        <w:t xml:space="preserve"> in dwelling units and sleeping units in Group R-2 occupancies operated by a college or university for student or staff housing shall be interconnected with the fire alarm system to </w:t>
      </w:r>
      <w:r>
        <w:rPr>
          <w:i/>
          <w:iCs/>
        </w:rPr>
        <w:t>activate the occupant notification</w:t>
      </w:r>
      <w:r>
        <w:t xml:space="preserve"> in accordance with </w:t>
      </w:r>
      <w:r w:rsidRPr="00F24F13">
        <w:t>NFPA 72</w:t>
      </w:r>
      <w:r>
        <w:rPr>
          <w:i/>
          <w:iCs/>
        </w:rPr>
        <w:t xml:space="preserve"> and shall comply with </w:t>
      </w:r>
      <w:r w:rsidRPr="00F24F13">
        <w:rPr>
          <w:i/>
          <w:iCs/>
        </w:rPr>
        <w:t>Section 907.2.11.7</w:t>
      </w:r>
      <w:r>
        <w:t>.</w:t>
      </w:r>
    </w:p>
    <w:p w14:paraId="4B886084" w14:textId="77777777" w:rsidR="00236E83" w:rsidRPr="003417BA" w:rsidRDefault="00236E83" w:rsidP="00236E83">
      <w:pPr>
        <w:spacing w:after="120"/>
      </w:pPr>
      <w:r>
        <w:rPr>
          <w:b/>
          <w:bCs/>
        </w:rPr>
        <w:t>Rationale:</w:t>
      </w:r>
      <w:r>
        <w:t xml:space="preserve"> Smoke alarms are not permitted under this section in California for college and university buildings. Smoke alarms are not listed with UL268. The editorial correction to remove the term “alarms” is in alignment with the intent of the code section and eliminates confusion for the code user.</w:t>
      </w:r>
      <w:r>
        <w:rPr>
          <w:rFonts w:cs="Arial"/>
          <w:b/>
          <w:bCs/>
        </w:rPr>
        <w:t xml:space="preserve"> </w:t>
      </w:r>
      <w:r>
        <w:rPr>
          <w:rFonts w:cs="Arial"/>
        </w:rPr>
        <w:t>SFM received a comment during the 45-day public comment period pointing to this issue, and SFM is addressing it in this 15-day Express Terms.</w:t>
      </w:r>
    </w:p>
    <w:p w14:paraId="49EB957F" w14:textId="77777777" w:rsidR="00236E83" w:rsidRPr="0044593B" w:rsidRDefault="00236E83" w:rsidP="00236E83">
      <w:pPr>
        <w:pStyle w:val="Heading4"/>
        <w:spacing w:before="0" w:after="120"/>
      </w:pPr>
      <w:r w:rsidRPr="0044593B">
        <w:lastRenderedPageBreak/>
        <w:t>Notation:</w:t>
      </w:r>
    </w:p>
    <w:p w14:paraId="6DD31867" w14:textId="77777777" w:rsidR="00236E83" w:rsidRPr="0044593B" w:rsidRDefault="00236E83" w:rsidP="00236E83">
      <w:pPr>
        <w:spacing w:after="120"/>
        <w:rPr>
          <w:rFonts w:cs="Arial"/>
        </w:rPr>
      </w:pPr>
      <w:r w:rsidRPr="0044593B">
        <w:rPr>
          <w:rFonts w:cs="Arial"/>
        </w:rPr>
        <w:t xml:space="preserve">Authority: </w:t>
      </w:r>
      <w:r w:rsidRPr="006704AD">
        <w:rPr>
          <w:rFonts w:cs="Arial"/>
          <w:szCs w:val="24"/>
        </w:rPr>
        <w:t xml:space="preserve">Health and Safety Code Sections </w:t>
      </w:r>
      <w:r w:rsidRPr="006704AD">
        <w:rPr>
          <w:rFonts w:cs="Arial"/>
          <w:bCs/>
          <w:szCs w:val="24"/>
        </w:rPr>
        <w:t xml:space="preserve">1250, 1502, 1568.02, 1569.72 - 1569.78, 1597.44 - 1597.65, </w:t>
      </w:r>
      <w:r w:rsidRPr="006704AD">
        <w:rPr>
          <w:rFonts w:cs="Arial"/>
          <w:szCs w:val="24"/>
        </w:rPr>
        <w:t xml:space="preserve">13108, </w:t>
      </w:r>
      <w:r w:rsidRPr="006704AD">
        <w:rPr>
          <w:rFonts w:cs="Arial"/>
          <w:bCs/>
          <w:szCs w:val="24"/>
        </w:rPr>
        <w:t xml:space="preserve">13108.5, 13114, </w:t>
      </w:r>
      <w:r w:rsidRPr="006704AD">
        <w:rPr>
          <w:rFonts w:cs="Arial"/>
          <w:szCs w:val="24"/>
        </w:rPr>
        <w:t xml:space="preserve">13143, </w:t>
      </w:r>
      <w:r w:rsidRPr="006704AD">
        <w:rPr>
          <w:rFonts w:cs="Arial"/>
          <w:bCs/>
          <w:szCs w:val="24"/>
        </w:rPr>
        <w:t xml:space="preserve">13143.2, 13143.6, </w:t>
      </w:r>
      <w:r w:rsidRPr="006704AD">
        <w:rPr>
          <w:rFonts w:cs="Arial"/>
          <w:szCs w:val="24"/>
        </w:rPr>
        <w:t xml:space="preserve">13145, 13146, 13211, 16022.5, 17921, 18928, 18949.2, 25500 through 25545; Government Code Sections 51176, 51177, 51178, 51179 and 51189; </w:t>
      </w:r>
      <w:r w:rsidRPr="006704AD">
        <w:rPr>
          <w:rFonts w:cs="Arial"/>
          <w:bCs/>
          <w:szCs w:val="24"/>
        </w:rPr>
        <w:t xml:space="preserve">Public Education Code 17074.50; </w:t>
      </w:r>
      <w:r w:rsidRPr="006704AD">
        <w:rPr>
          <w:rFonts w:cs="Arial"/>
          <w:szCs w:val="24"/>
        </w:rPr>
        <w:t>Public Resources Code Sections 4201 through 4204.</w:t>
      </w:r>
    </w:p>
    <w:p w14:paraId="748EE497" w14:textId="77777777" w:rsidR="009247AF" w:rsidRDefault="00236E83" w:rsidP="009247AF">
      <w:pPr>
        <w:spacing w:after="120"/>
        <w:rPr>
          <w:rFonts w:cs="Arial"/>
        </w:rPr>
      </w:pPr>
      <w:r w:rsidRPr="0044593B">
        <w:rPr>
          <w:rFonts w:cs="Arial"/>
        </w:rPr>
        <w:t xml:space="preserve">Reference(s): </w:t>
      </w:r>
      <w:r w:rsidRPr="006704AD">
        <w:rPr>
          <w:rFonts w:cs="Arial"/>
        </w:rPr>
        <w:t>Health and Safety Code Sections 13108, 13108.5, 13113, 13113.5, 13114, 13132, 13132.7, 13133, 13135, 13143, 13143.1, 13143.2, 13143.6, 13143.9, 13145, 13146, 13210, 13211, 16022.5, 17921.</w:t>
      </w:r>
    </w:p>
    <w:p w14:paraId="2F854EE3" w14:textId="46598D4F" w:rsidR="000B33E0" w:rsidRDefault="001E12EE" w:rsidP="002A30A8">
      <w:pPr>
        <w:pStyle w:val="Heading3"/>
        <w:spacing w:before="360"/>
      </w:pPr>
      <w:r w:rsidRPr="0044593B">
        <w:t>ITEM</w:t>
      </w:r>
      <w:r w:rsidR="000B33E0" w:rsidRPr="0044593B">
        <w:t xml:space="preserve"> </w:t>
      </w:r>
      <w:r w:rsidR="00A92619">
        <w:t>10</w:t>
      </w:r>
      <w:r w:rsidR="00AA2EB6">
        <w:t>-</w:t>
      </w:r>
      <w:r w:rsidR="00A92619">
        <w:t>3</w:t>
      </w:r>
      <w:r w:rsidR="00391B17" w:rsidRPr="0044593B">
        <w:rPr>
          <w:snapToGrid/>
        </w:rPr>
        <w:br/>
      </w:r>
      <w:r w:rsidR="000B33E0" w:rsidRPr="0044593B">
        <w:t xml:space="preserve">Chapter </w:t>
      </w:r>
      <w:r w:rsidR="00AA2EB6">
        <w:t>9</w:t>
      </w:r>
      <w:r w:rsidR="00786248" w:rsidRPr="0044593B">
        <w:t xml:space="preserve">, </w:t>
      </w:r>
      <w:r w:rsidR="000B33E0" w:rsidRPr="0044593B">
        <w:t xml:space="preserve">Section </w:t>
      </w:r>
      <w:r w:rsidR="00AA2EB6" w:rsidRPr="00AA2EB6">
        <w:t>903.3.1.1.1 Exempt Locations</w:t>
      </w:r>
    </w:p>
    <w:p w14:paraId="3A2069F7" w14:textId="3181E47F" w:rsidR="00A92619" w:rsidRPr="00A92619" w:rsidRDefault="00A92619" w:rsidP="00A92619">
      <w:pPr>
        <w:spacing w:after="120"/>
      </w:pPr>
      <w:r w:rsidRPr="001B71EB">
        <w:t>[SFM proposed renumbering and blending modification to an existing amendment to carry forward California provisions.]</w:t>
      </w:r>
    </w:p>
    <w:p w14:paraId="12D0A645" w14:textId="77777777" w:rsidR="00AA2EB6" w:rsidRPr="00AF37B1" w:rsidRDefault="00AA2EB6" w:rsidP="00AA2EB6">
      <w:pPr>
        <w:spacing w:after="120"/>
        <w:ind w:left="720"/>
        <w:rPr>
          <w:b/>
          <w:bCs/>
        </w:rPr>
      </w:pPr>
      <w:r w:rsidRPr="00AF37B1">
        <w:rPr>
          <w:b/>
          <w:bCs/>
        </w:rPr>
        <w:t xml:space="preserve">903.3.1.1.1 Exempt locations. </w:t>
      </w:r>
      <w:r w:rsidRPr="00AF37B1">
        <w:t>Automatic sprinklers shall not be required in the following rooms or areas where such rooms or areas are protected with an approved automatic fire detection system in accordance with Section 907.2 that will respond to visible or invisible particles of combustion. Sprinklers shall not be omitted from a room merely because it is damp, of fire-resistance-rated construction or contains electrical equipment.</w:t>
      </w:r>
    </w:p>
    <w:p w14:paraId="69876F65" w14:textId="77777777" w:rsidR="00AA2EB6" w:rsidRPr="00AF37B1" w:rsidRDefault="00AA2EB6" w:rsidP="00AA2EB6">
      <w:pPr>
        <w:spacing w:after="120"/>
        <w:ind w:left="1440"/>
        <w:rPr>
          <w:i/>
          <w:iCs/>
        </w:rPr>
      </w:pPr>
      <w:bookmarkStart w:id="4" w:name="_Hlk166074609"/>
      <w:r w:rsidRPr="00AF37B1">
        <w:rPr>
          <w:strike/>
        </w:rPr>
        <w:t>1.</w:t>
      </w:r>
      <w:r w:rsidRPr="00AF37B1">
        <w:t xml:space="preserve"> [Item 1 shown as crossed out is 2022 CBC model code language that was removed from 2024 IBC and existing SFM amendment proposed to be repealed.] </w:t>
      </w:r>
      <w:r w:rsidRPr="00AF37B1">
        <w:rPr>
          <w:strike/>
        </w:rPr>
        <w:t>A room where the application of water, or flame and water, constitutes a serious life or fire hazard</w:t>
      </w:r>
      <w:r w:rsidRPr="00AF37B1">
        <w:rPr>
          <w:i/>
          <w:iCs/>
          <w:strike/>
        </w:rPr>
        <w:t xml:space="preserve"> as determined by the authority having jurisdiction. </w:t>
      </w:r>
    </w:p>
    <w:p w14:paraId="0BC956BA" w14:textId="77777777" w:rsidR="00AA2EB6" w:rsidRPr="00AF37B1" w:rsidRDefault="00AA2EB6" w:rsidP="00AA2EB6">
      <w:pPr>
        <w:spacing w:after="120"/>
        <w:ind w:left="1440"/>
      </w:pPr>
      <w:r w:rsidRPr="00AF37B1">
        <w:t xml:space="preserve">1. A room or space where sprinklers constitute a serious life or fire hazard because of the nature of the contents, </w:t>
      </w:r>
      <w:r w:rsidRPr="00AF37B1">
        <w:rPr>
          <w:i/>
          <w:iCs/>
        </w:rPr>
        <w:t>as determined by the authority having jurisdiction</w:t>
      </w:r>
      <w:r w:rsidRPr="00AF37B1">
        <w:t>.</w:t>
      </w:r>
    </w:p>
    <w:bookmarkEnd w:id="4"/>
    <w:p w14:paraId="4610D9AA" w14:textId="77777777" w:rsidR="00AA2EB6" w:rsidRPr="00AF37B1" w:rsidRDefault="00AA2EB6" w:rsidP="00AA2EB6">
      <w:pPr>
        <w:spacing w:after="120"/>
        <w:ind w:left="1440"/>
        <w:rPr>
          <w:i/>
          <w:iCs/>
        </w:rPr>
      </w:pPr>
      <w:r w:rsidRPr="00AF37B1">
        <w:rPr>
          <w:i/>
          <w:iCs/>
          <w:strike/>
        </w:rPr>
        <w:t xml:space="preserve">3 </w:t>
      </w:r>
      <w:r w:rsidRPr="00AF37B1">
        <w:rPr>
          <w:i/>
          <w:iCs/>
          <w:u w:val="single"/>
        </w:rPr>
        <w:t>2</w:t>
      </w:r>
      <w:r w:rsidRPr="00AF37B1">
        <w:rPr>
          <w:i/>
          <w:iCs/>
        </w:rPr>
        <w:t>. Machine rooms, machinery spaces, control rooms, control spaces and hoistways associated with fire service access elevators provided in accordance with Section 3007.</w:t>
      </w:r>
    </w:p>
    <w:p w14:paraId="0F7B1C29" w14:textId="77777777" w:rsidR="00AA2EB6" w:rsidRPr="00AF37B1" w:rsidRDefault="00AA2EB6" w:rsidP="00AA2EB6">
      <w:pPr>
        <w:spacing w:after="120"/>
        <w:ind w:left="1440"/>
      </w:pPr>
      <w:r w:rsidRPr="00AF37B1">
        <w:rPr>
          <w:i/>
          <w:iCs/>
          <w:strike/>
        </w:rPr>
        <w:t xml:space="preserve"> 4 </w:t>
      </w:r>
      <w:r w:rsidRPr="00AF37B1">
        <w:rPr>
          <w:i/>
          <w:iCs/>
          <w:u w:val="single"/>
        </w:rPr>
        <w:t>3</w:t>
      </w:r>
      <w:r w:rsidRPr="00AF37B1">
        <w:rPr>
          <w:i/>
          <w:iCs/>
        </w:rPr>
        <w:t xml:space="preserve">. </w:t>
      </w:r>
      <w:r w:rsidRPr="00AF37B1">
        <w:t xml:space="preserve">Machine rooms, machinery spaces, control rooms and control spaces </w:t>
      </w:r>
      <w:r w:rsidRPr="00AF37B1">
        <w:rPr>
          <w:i/>
          <w:iCs/>
        </w:rPr>
        <w:t xml:space="preserve">and hoistways </w:t>
      </w:r>
      <w:r w:rsidRPr="00AF37B1">
        <w:t>associated with occupant evacuation elevators designed in accordance with Section 3008.</w:t>
      </w:r>
    </w:p>
    <w:p w14:paraId="00F41CBA" w14:textId="77777777" w:rsidR="00AA2EB6" w:rsidRPr="00AF37B1" w:rsidRDefault="00AA2EB6" w:rsidP="00AA2EB6">
      <w:pPr>
        <w:spacing w:after="120"/>
        <w:ind w:left="1440"/>
        <w:rPr>
          <w:i/>
          <w:iCs/>
        </w:rPr>
      </w:pPr>
      <w:r w:rsidRPr="00AF37B1">
        <w:rPr>
          <w:i/>
          <w:iCs/>
          <w:strike/>
        </w:rPr>
        <w:t xml:space="preserve">5 </w:t>
      </w:r>
      <w:r w:rsidRPr="00AF37B1">
        <w:rPr>
          <w:i/>
          <w:iCs/>
          <w:u w:val="single"/>
        </w:rPr>
        <w:t>4</w:t>
      </w:r>
      <w:r w:rsidRPr="00AF37B1">
        <w:rPr>
          <w:i/>
          <w:iCs/>
        </w:rPr>
        <w:t>. Spaces or areas in telecommunications buildings used exclusively for telecommunications equipment, and associated electrical power distribution equipment, provided those spaces or areas are equipped throughout with an automatic smoke detection system in accordance with Section 907.2 and are separated from the remainder of the building by not less than 1-hour fire barriers constructed in accordance with Section 707 or not less than 2-hour horizontal assemblies constructed in accordance with Section 712, or both.</w:t>
      </w:r>
    </w:p>
    <w:p w14:paraId="2BF47AA4" w14:textId="2E0D613A" w:rsidR="00EA55B4" w:rsidRPr="00AA2EB6" w:rsidRDefault="00AA2EB6" w:rsidP="00AA2EB6">
      <w:pPr>
        <w:spacing w:after="120"/>
        <w:ind w:left="1440"/>
        <w:rPr>
          <w:i/>
          <w:iCs/>
          <w:dstrike/>
        </w:rPr>
      </w:pPr>
      <w:r w:rsidRPr="00AA2EB6">
        <w:rPr>
          <w:i/>
          <w:iCs/>
          <w:dstrike/>
        </w:rPr>
        <w:t>6</w:t>
      </w:r>
      <w:r w:rsidRPr="00AA2EB6">
        <w:rPr>
          <w:i/>
          <w:iCs/>
          <w:dstrike/>
          <w:u w:val="single"/>
        </w:rPr>
        <w:t>5</w:t>
      </w:r>
      <w:r w:rsidRPr="00AA2EB6">
        <w:rPr>
          <w:i/>
          <w:iCs/>
          <w:dstrike/>
        </w:rPr>
        <w:t xml:space="preserve">. Elevator hoistways, machine rooms, machinery spaces, control </w:t>
      </w:r>
      <w:r w:rsidRPr="00AA2EB6">
        <w:rPr>
          <w:i/>
          <w:iCs/>
          <w:dstrike/>
        </w:rPr>
        <w:lastRenderedPageBreak/>
        <w:t>spaces and control rooms in accordance with Section 3005.4.1 of the California Building Code.</w:t>
      </w:r>
    </w:p>
    <w:p w14:paraId="36514A2B" w14:textId="1271C65D" w:rsidR="004256C0" w:rsidRPr="004256C0" w:rsidRDefault="002367DC" w:rsidP="004256C0">
      <w:pPr>
        <w:spacing w:before="120"/>
        <w:rPr>
          <w:rFonts w:cs="Arial"/>
        </w:rPr>
      </w:pPr>
      <w:r w:rsidRPr="0044593B">
        <w:rPr>
          <w:rFonts w:cs="Arial"/>
          <w:b/>
        </w:rPr>
        <w:t>Rationale:</w:t>
      </w:r>
      <w:r w:rsidR="002D5E4A" w:rsidRPr="0044593B">
        <w:rPr>
          <w:rFonts w:cs="Arial"/>
        </w:rPr>
        <w:t xml:space="preserve"> </w:t>
      </w:r>
      <w:r w:rsidR="00AC7805">
        <w:rPr>
          <w:rFonts w:cs="Arial"/>
        </w:rPr>
        <w:t xml:space="preserve">The California amendment </w:t>
      </w:r>
      <w:r w:rsidR="00305C4E">
        <w:rPr>
          <w:rFonts w:cs="Arial"/>
        </w:rPr>
        <w:t xml:space="preserve">is no longer needed, </w:t>
      </w:r>
      <w:r w:rsidR="004256C0" w:rsidRPr="004256C0">
        <w:rPr>
          <w:rFonts w:cs="Arial"/>
        </w:rPr>
        <w:t>there is no need for exception # 6 since NFPA 13-2025 has new sprinkler omission</w:t>
      </w:r>
      <w:r w:rsidR="004256C0">
        <w:rPr>
          <w:rFonts w:cs="Arial"/>
        </w:rPr>
        <w:t xml:space="preserve"> </w:t>
      </w:r>
      <w:r w:rsidR="004256C0" w:rsidRPr="004256C0">
        <w:rPr>
          <w:rFonts w:cs="Arial"/>
        </w:rPr>
        <w:t>requirements that covers sprinkler omissions for all elevator associated spaces. Therefore, this</w:t>
      </w:r>
      <w:r w:rsidR="004256C0">
        <w:rPr>
          <w:rFonts w:cs="Arial"/>
        </w:rPr>
        <w:t xml:space="preserve"> </w:t>
      </w:r>
      <w:r w:rsidR="004256C0" w:rsidRPr="004256C0">
        <w:rPr>
          <w:rFonts w:cs="Arial"/>
        </w:rPr>
        <w:t>exception is redundant and create</w:t>
      </w:r>
      <w:r w:rsidR="003D00F2">
        <w:rPr>
          <w:rFonts w:cs="Arial"/>
        </w:rPr>
        <w:t>s</w:t>
      </w:r>
      <w:r w:rsidR="004256C0" w:rsidRPr="004256C0">
        <w:rPr>
          <w:rFonts w:cs="Arial"/>
        </w:rPr>
        <w:t xml:space="preserve"> potential conflicts between CFC and NFPA 13.</w:t>
      </w:r>
    </w:p>
    <w:p w14:paraId="6DFD56C6" w14:textId="18F72B4D" w:rsidR="004256C0" w:rsidRPr="004256C0" w:rsidRDefault="004256C0" w:rsidP="004256C0">
      <w:pPr>
        <w:spacing w:before="120"/>
        <w:rPr>
          <w:rFonts w:cs="Arial"/>
        </w:rPr>
      </w:pPr>
      <w:r w:rsidRPr="004256C0">
        <w:rPr>
          <w:rFonts w:cs="Arial"/>
        </w:rPr>
        <w:t xml:space="preserve">Also – some </w:t>
      </w:r>
      <w:r>
        <w:rPr>
          <w:rFonts w:cs="Arial"/>
        </w:rPr>
        <w:t>f</w:t>
      </w:r>
      <w:r w:rsidRPr="004256C0">
        <w:rPr>
          <w:rFonts w:cs="Arial"/>
        </w:rPr>
        <w:t xml:space="preserve">ire </w:t>
      </w:r>
      <w:r>
        <w:rPr>
          <w:rFonts w:cs="Arial"/>
        </w:rPr>
        <w:t>authorities</w:t>
      </w:r>
      <w:r w:rsidRPr="004256C0">
        <w:rPr>
          <w:rFonts w:cs="Arial"/>
        </w:rPr>
        <w:t xml:space="preserve"> are interpreting this exception in a way that if the top of </w:t>
      </w:r>
      <w:r>
        <w:rPr>
          <w:rFonts w:cs="Arial"/>
        </w:rPr>
        <w:t xml:space="preserve">a </w:t>
      </w:r>
      <w:r w:rsidRPr="004256C0">
        <w:rPr>
          <w:rFonts w:cs="Arial"/>
        </w:rPr>
        <w:t>hoistway</w:t>
      </w:r>
      <w:r>
        <w:rPr>
          <w:rFonts w:cs="Arial"/>
        </w:rPr>
        <w:t xml:space="preserve"> </w:t>
      </w:r>
      <w:r w:rsidRPr="004256C0">
        <w:rPr>
          <w:rFonts w:cs="Arial"/>
        </w:rPr>
        <w:t xml:space="preserve">sprinkler is omitted </w:t>
      </w:r>
      <w:r>
        <w:rPr>
          <w:rFonts w:cs="Arial"/>
        </w:rPr>
        <w:t>it will</w:t>
      </w:r>
      <w:r w:rsidRPr="004256C0">
        <w:rPr>
          <w:rFonts w:cs="Arial"/>
        </w:rPr>
        <w:t xml:space="preserve"> trigger</w:t>
      </w:r>
      <w:r>
        <w:rPr>
          <w:rFonts w:cs="Arial"/>
        </w:rPr>
        <w:t xml:space="preserve"> </w:t>
      </w:r>
      <w:r w:rsidRPr="004256C0">
        <w:rPr>
          <w:rFonts w:cs="Arial"/>
        </w:rPr>
        <w:t xml:space="preserve">a top of hoistway smoke detector </w:t>
      </w:r>
      <w:r w:rsidR="006C60EB" w:rsidRPr="004256C0">
        <w:rPr>
          <w:rFonts w:cs="Arial"/>
        </w:rPr>
        <w:t>regardless of</w:t>
      </w:r>
      <w:r w:rsidRPr="004256C0">
        <w:rPr>
          <w:rFonts w:cs="Arial"/>
        </w:rPr>
        <w:t xml:space="preserve"> if the elevator is a</w:t>
      </w:r>
      <w:r>
        <w:rPr>
          <w:rFonts w:cs="Arial"/>
        </w:rPr>
        <w:t xml:space="preserve"> </w:t>
      </w:r>
      <w:r w:rsidRPr="004256C0">
        <w:rPr>
          <w:rFonts w:cs="Arial"/>
        </w:rPr>
        <w:t>Machine-Room-Less (MRL) or standard traction or hydraulic elevator.</w:t>
      </w:r>
    </w:p>
    <w:p w14:paraId="5E315518" w14:textId="64E3F30F" w:rsidR="004256C0" w:rsidRPr="004256C0" w:rsidRDefault="004256C0" w:rsidP="004256C0">
      <w:pPr>
        <w:spacing w:before="120"/>
        <w:rPr>
          <w:rFonts w:cs="Arial"/>
        </w:rPr>
      </w:pPr>
      <w:r w:rsidRPr="004256C0">
        <w:rPr>
          <w:rFonts w:cs="Arial"/>
        </w:rPr>
        <w:t>This creates major conflicts and inconsistencies with the elevator code ASME A17.1 which only</w:t>
      </w:r>
      <w:r>
        <w:rPr>
          <w:rFonts w:cs="Arial"/>
        </w:rPr>
        <w:t xml:space="preserve"> </w:t>
      </w:r>
      <w:r w:rsidRPr="004256C0">
        <w:rPr>
          <w:rFonts w:cs="Arial"/>
        </w:rPr>
        <w:t xml:space="preserve">requires smoke detectors at the top of hoistways (machinery space) of MRL elevators. </w:t>
      </w:r>
      <w:r>
        <w:rPr>
          <w:rFonts w:cs="Arial"/>
        </w:rPr>
        <w:t>ASME A17.1</w:t>
      </w:r>
      <w:r w:rsidRPr="004256C0">
        <w:rPr>
          <w:rFonts w:cs="Arial"/>
        </w:rPr>
        <w:t xml:space="preserve"> does not require smoke detectors at the top of hoistways of standard traction</w:t>
      </w:r>
      <w:r>
        <w:rPr>
          <w:rFonts w:cs="Arial"/>
        </w:rPr>
        <w:t xml:space="preserve"> </w:t>
      </w:r>
      <w:r w:rsidRPr="004256C0">
        <w:rPr>
          <w:rFonts w:cs="Arial"/>
        </w:rPr>
        <w:t>elevators or hydraulic elevators.</w:t>
      </w:r>
    </w:p>
    <w:p w14:paraId="259A5DFA" w14:textId="7DCF11E4" w:rsidR="004256C0" w:rsidRPr="004256C0" w:rsidRDefault="004256C0" w:rsidP="004256C0">
      <w:pPr>
        <w:spacing w:before="120"/>
        <w:rPr>
          <w:rFonts w:cs="Arial"/>
        </w:rPr>
      </w:pPr>
      <w:r w:rsidRPr="004256C0">
        <w:rPr>
          <w:rFonts w:cs="Arial"/>
        </w:rPr>
        <w:t>Deleting this exception # 6 will prevent these inconsistencies and conflicts.</w:t>
      </w:r>
    </w:p>
    <w:p w14:paraId="00B06F57" w14:textId="49E5F219" w:rsidR="002367DC" w:rsidRDefault="003D00F2" w:rsidP="004256C0">
      <w:pPr>
        <w:spacing w:before="120"/>
        <w:rPr>
          <w:rFonts w:cs="Arial"/>
        </w:rPr>
      </w:pPr>
      <w:r>
        <w:rPr>
          <w:rFonts w:cs="Arial"/>
        </w:rPr>
        <w:t>There are n</w:t>
      </w:r>
      <w:r w:rsidR="004256C0" w:rsidRPr="004256C0">
        <w:rPr>
          <w:rFonts w:cs="Arial"/>
        </w:rPr>
        <w:t>ew sections in NFPA 13-2025 with Sprinkler omission in elevator</w:t>
      </w:r>
      <w:r w:rsidR="004256C0">
        <w:rPr>
          <w:rFonts w:cs="Arial"/>
        </w:rPr>
        <w:t xml:space="preserve"> </w:t>
      </w:r>
      <w:r w:rsidR="004256C0" w:rsidRPr="004256C0">
        <w:rPr>
          <w:rFonts w:cs="Arial"/>
        </w:rPr>
        <w:t>pits for all elevators (9.2.14.2) and top of hoistway sprinklers omission for all</w:t>
      </w:r>
      <w:r w:rsidR="004256C0">
        <w:rPr>
          <w:rFonts w:cs="Arial"/>
        </w:rPr>
        <w:t xml:space="preserve"> </w:t>
      </w:r>
      <w:r w:rsidR="004256C0" w:rsidRPr="004256C0">
        <w:rPr>
          <w:rFonts w:cs="Arial"/>
        </w:rPr>
        <w:t>hydraulic elevators (9.2.14.4.2).</w:t>
      </w:r>
      <w:r w:rsidR="00954BE4" w:rsidRPr="00954BE4">
        <w:rPr>
          <w:rFonts w:cs="Arial"/>
        </w:rPr>
        <w:t xml:space="preserve"> </w:t>
      </w:r>
      <w:r w:rsidR="00954BE4">
        <w:rPr>
          <w:rFonts w:cs="Arial"/>
        </w:rPr>
        <w:t xml:space="preserve">SFM received </w:t>
      </w:r>
      <w:r w:rsidR="00D36F04">
        <w:rPr>
          <w:rFonts w:cs="Arial"/>
        </w:rPr>
        <w:t xml:space="preserve">a </w:t>
      </w:r>
      <w:r w:rsidR="00954BE4">
        <w:rPr>
          <w:rFonts w:cs="Arial"/>
        </w:rPr>
        <w:t>comment during the 45-day public comment period pointing to this issue, and SFM is addressing it in this 15-day Express Terms.</w:t>
      </w:r>
    </w:p>
    <w:p w14:paraId="7924CB6E" w14:textId="77777777" w:rsidR="00954BE4" w:rsidRPr="0044593B" w:rsidRDefault="00954BE4" w:rsidP="00954BE4">
      <w:pPr>
        <w:pStyle w:val="Heading4"/>
      </w:pPr>
      <w:r w:rsidRPr="0044593B">
        <w:t>Notation:</w:t>
      </w:r>
    </w:p>
    <w:p w14:paraId="139D3433" w14:textId="03DA9C6D" w:rsidR="00954BE4" w:rsidRPr="0044593B" w:rsidRDefault="00954BE4" w:rsidP="00954BE4">
      <w:pPr>
        <w:spacing w:before="120"/>
        <w:rPr>
          <w:rFonts w:cs="Arial"/>
        </w:rPr>
      </w:pPr>
      <w:r w:rsidRPr="0044593B">
        <w:rPr>
          <w:rFonts w:cs="Arial"/>
        </w:rPr>
        <w:t xml:space="preserve">Authority: </w:t>
      </w:r>
      <w:r w:rsidR="004C19AC" w:rsidRPr="00455DF6">
        <w:rPr>
          <w:rFonts w:cs="Arial"/>
          <w:szCs w:val="24"/>
        </w:rPr>
        <w:t xml:space="preserve">Health and Safety Code Sections </w:t>
      </w:r>
      <w:r w:rsidR="004C19AC" w:rsidRPr="00455DF6">
        <w:rPr>
          <w:rFonts w:cs="Arial"/>
          <w:bCs/>
          <w:szCs w:val="24"/>
        </w:rPr>
        <w:t xml:space="preserve">1250, 1502, 1568.02, 1569.72 - 1569.78, 1597.44 - 1597.65, </w:t>
      </w:r>
      <w:r w:rsidR="004C19AC" w:rsidRPr="00455DF6">
        <w:rPr>
          <w:rFonts w:cs="Arial"/>
          <w:szCs w:val="24"/>
        </w:rPr>
        <w:t xml:space="preserve">13108, </w:t>
      </w:r>
      <w:r w:rsidR="004C19AC" w:rsidRPr="00455DF6">
        <w:rPr>
          <w:rFonts w:cs="Arial"/>
          <w:bCs/>
          <w:szCs w:val="24"/>
        </w:rPr>
        <w:t xml:space="preserve">13108.5, 13114, </w:t>
      </w:r>
      <w:r w:rsidR="004C19AC" w:rsidRPr="00455DF6">
        <w:rPr>
          <w:rFonts w:cs="Arial"/>
          <w:szCs w:val="24"/>
        </w:rPr>
        <w:t xml:space="preserve">13143, </w:t>
      </w:r>
      <w:r w:rsidR="004C19AC" w:rsidRPr="00455DF6">
        <w:rPr>
          <w:rFonts w:cs="Arial"/>
          <w:bCs/>
          <w:szCs w:val="24"/>
        </w:rPr>
        <w:t xml:space="preserve">13143.2, 13143.6, </w:t>
      </w:r>
      <w:r w:rsidR="004C19AC" w:rsidRPr="00455DF6">
        <w:rPr>
          <w:rFonts w:cs="Arial"/>
          <w:szCs w:val="24"/>
        </w:rPr>
        <w:t xml:space="preserve">13145, 13146, 13211, 16022.5, 17921, 18928, 18949.2, 25500 through 25545; Government Code Sections 51176, 51177, 51178, 51179 and 51189; </w:t>
      </w:r>
      <w:r w:rsidR="004C19AC" w:rsidRPr="00455DF6">
        <w:rPr>
          <w:rFonts w:cs="Arial"/>
          <w:bCs/>
          <w:szCs w:val="24"/>
        </w:rPr>
        <w:t xml:space="preserve">Public Education Code 17074.50; </w:t>
      </w:r>
      <w:r w:rsidR="004C19AC" w:rsidRPr="00455DF6">
        <w:rPr>
          <w:rFonts w:cs="Arial"/>
          <w:szCs w:val="24"/>
        </w:rPr>
        <w:t>Public Resources Code Sections 4201 through 4204.</w:t>
      </w:r>
    </w:p>
    <w:p w14:paraId="79D33FBA" w14:textId="76FCB757" w:rsidR="00954BE4" w:rsidRPr="0044593B" w:rsidRDefault="00954BE4" w:rsidP="00305C4E">
      <w:pPr>
        <w:spacing w:before="120"/>
        <w:rPr>
          <w:rFonts w:cs="Arial"/>
        </w:rPr>
      </w:pPr>
      <w:r w:rsidRPr="0044593B">
        <w:rPr>
          <w:rFonts w:cs="Arial"/>
        </w:rPr>
        <w:t xml:space="preserve">Reference(s): </w:t>
      </w:r>
      <w:r w:rsidR="004C19AC" w:rsidRPr="00455DF6">
        <w:rPr>
          <w:rFonts w:cs="Arial"/>
          <w:szCs w:val="24"/>
        </w:rPr>
        <w:t>Health and Safety Code Sections 13108, 13108.5, 13113, 13113.5, 13114, 13132, 13132.7, 13133, 13135, 13143, 13143.1, 13143.2, 13143.6, 13143.9, 13145, 13146, 13210, 13211, 16022.5, 17921.</w:t>
      </w:r>
    </w:p>
    <w:p w14:paraId="127F58C1" w14:textId="18C131F3" w:rsidR="00E813EC" w:rsidRPr="00455DF6" w:rsidRDefault="00E813EC" w:rsidP="00131DD3">
      <w:pPr>
        <w:pStyle w:val="Heading3"/>
        <w:spacing w:before="360"/>
      </w:pPr>
      <w:r w:rsidRPr="00455DF6">
        <w:t xml:space="preserve">ITEM </w:t>
      </w:r>
      <w:r>
        <w:t>29</w:t>
      </w:r>
      <w:r w:rsidRPr="00455DF6">
        <w:t>-2</w:t>
      </w:r>
      <w:r>
        <w:t>.1</w:t>
      </w:r>
      <w:r w:rsidRPr="00455DF6">
        <w:rPr>
          <w:snapToGrid/>
        </w:rPr>
        <w:br/>
      </w:r>
      <w:r w:rsidR="000F394C" w:rsidRPr="000F394C">
        <w:t>Chapter 30 Elevator and Conveying Systems</w:t>
      </w:r>
      <w:r w:rsidR="000F394C">
        <w:t>,</w:t>
      </w:r>
      <w:r w:rsidR="000F394C">
        <w:br/>
      </w:r>
      <w:r w:rsidRPr="00455DF6">
        <w:t>Section 3001.7 Elevators utilized to transport hazardous materials.</w:t>
      </w:r>
    </w:p>
    <w:p w14:paraId="733654F8" w14:textId="2086146D" w:rsidR="00CB75A9" w:rsidRPr="00131DD3" w:rsidRDefault="00CB75A9" w:rsidP="00131DD3">
      <w:pPr>
        <w:spacing w:after="120"/>
        <w:rPr>
          <w:rFonts w:cs="Arial"/>
          <w:b/>
          <w:bCs/>
        </w:rPr>
      </w:pPr>
      <w:r w:rsidRPr="00CB75A9">
        <w:rPr>
          <w:rFonts w:cs="Arial"/>
          <w:b/>
          <w:bCs/>
          <w:i/>
          <w:iCs/>
        </w:rPr>
        <w:t>3005.4.1 Automatic sprinkler system</w:t>
      </w:r>
      <w:r w:rsidRPr="00CB75A9">
        <w:rPr>
          <w:rFonts w:cs="Arial"/>
          <w:b/>
          <w:bCs/>
        </w:rPr>
        <w:t>.</w:t>
      </w:r>
      <w:r w:rsidR="00131DD3">
        <w:rPr>
          <w:rFonts w:cs="Arial"/>
          <w:b/>
          <w:bCs/>
        </w:rPr>
        <w:t xml:space="preserve"> </w:t>
      </w:r>
      <w:r w:rsidRPr="00CB75A9">
        <w:rPr>
          <w:rFonts w:cs="Arial"/>
          <w:i/>
          <w:iCs/>
        </w:rPr>
        <w:t xml:space="preserve">Automatic sprinklers shall not be required to be installed in the elevator hoistway, elevator machine room, elevator machinery space, elevator control space or elevator control room where </w:t>
      </w:r>
      <w:r w:rsidRPr="00CB75A9">
        <w:rPr>
          <w:rFonts w:cs="Arial"/>
          <w:i/>
          <w:iCs/>
          <w:dstrike/>
        </w:rPr>
        <w:t>all</w:t>
      </w:r>
      <w:r w:rsidRPr="00CB75A9">
        <w:rPr>
          <w:rFonts w:cs="Arial"/>
          <w:i/>
          <w:iCs/>
        </w:rPr>
        <w:t xml:space="preserve"> the following are met:</w:t>
      </w:r>
    </w:p>
    <w:p w14:paraId="06669294" w14:textId="268B70AA" w:rsidR="00CB75A9" w:rsidRPr="00CB75A9" w:rsidRDefault="00CB75A9" w:rsidP="00131DD3">
      <w:pPr>
        <w:numPr>
          <w:ilvl w:val="0"/>
          <w:numId w:val="44"/>
        </w:numPr>
        <w:spacing w:after="120"/>
        <w:rPr>
          <w:rFonts w:cs="Arial"/>
          <w:i/>
          <w:iCs/>
          <w:dstrike/>
        </w:rPr>
      </w:pPr>
      <w:r w:rsidRPr="00CB75A9">
        <w:rPr>
          <w:rFonts w:cs="Arial"/>
          <w:i/>
          <w:iCs/>
          <w:dstrike/>
        </w:rPr>
        <w:t>The requirements of </w:t>
      </w:r>
      <w:r w:rsidRPr="00131DD3">
        <w:rPr>
          <w:rFonts w:cs="Arial"/>
          <w:i/>
          <w:iCs/>
          <w:dstrike/>
        </w:rPr>
        <w:t>NFPA 13</w:t>
      </w:r>
      <w:r w:rsidRPr="00CB75A9">
        <w:rPr>
          <w:rFonts w:cs="Arial"/>
          <w:i/>
          <w:iCs/>
          <w:dstrike/>
        </w:rPr>
        <w:t>, Section 9.3.6.3.</w:t>
      </w:r>
    </w:p>
    <w:p w14:paraId="2811DB35" w14:textId="137C4CA9" w:rsidR="00CB75A9" w:rsidRDefault="00CB75A9" w:rsidP="00131DD3">
      <w:pPr>
        <w:numPr>
          <w:ilvl w:val="0"/>
          <w:numId w:val="44"/>
        </w:numPr>
        <w:spacing w:after="120"/>
        <w:rPr>
          <w:rFonts w:cs="Arial"/>
          <w:i/>
          <w:iCs/>
        </w:rPr>
      </w:pPr>
      <w:r w:rsidRPr="00CB75A9">
        <w:rPr>
          <w:rFonts w:cs="Arial"/>
          <w:i/>
          <w:iCs/>
        </w:rPr>
        <w:t>The elevator machine room, elevator machinery space, elevator control space or elevator control room shall be enclosed with fire barriers constructed in accordance with </w:t>
      </w:r>
      <w:r w:rsidRPr="00131DD3">
        <w:rPr>
          <w:rFonts w:cs="Arial"/>
          <w:i/>
          <w:iCs/>
        </w:rPr>
        <w:t>Section 707</w:t>
      </w:r>
      <w:r w:rsidRPr="00CB75A9">
        <w:rPr>
          <w:rFonts w:cs="Arial"/>
          <w:i/>
          <w:iCs/>
        </w:rPr>
        <w:t> or horizontal assemblies constructed in accordance with </w:t>
      </w:r>
      <w:r w:rsidRPr="00131DD3">
        <w:rPr>
          <w:rFonts w:cs="Arial"/>
          <w:i/>
          <w:iCs/>
        </w:rPr>
        <w:t>Section 711</w:t>
      </w:r>
      <w:r w:rsidRPr="00CB75A9">
        <w:rPr>
          <w:rFonts w:cs="Arial"/>
          <w:i/>
          <w:iCs/>
        </w:rPr>
        <w:t xml:space="preserve">, or both. The fire-resistance rating shall not be less than the required rating of the hoistway enclosure served by the machinery. Openings in the fire barriers shall be protected with assemblies having a fire protection rating not less than that required for the hoistway enclosure doors. The exceptions </w:t>
      </w:r>
      <w:r w:rsidRPr="00CB75A9">
        <w:rPr>
          <w:rFonts w:cs="Arial"/>
          <w:i/>
          <w:iCs/>
        </w:rPr>
        <w:lastRenderedPageBreak/>
        <w:t>to </w:t>
      </w:r>
      <w:r w:rsidRPr="00131DD3">
        <w:rPr>
          <w:rFonts w:cs="Arial"/>
          <w:i/>
          <w:iCs/>
        </w:rPr>
        <w:t>Section 3005.4</w:t>
      </w:r>
      <w:r w:rsidRPr="00CB75A9">
        <w:rPr>
          <w:rFonts w:cs="Arial"/>
          <w:i/>
          <w:iCs/>
        </w:rPr>
        <w:t> shall not apply.</w:t>
      </w:r>
    </w:p>
    <w:p w14:paraId="58846C30" w14:textId="097F9628" w:rsidR="009D287A" w:rsidRPr="00CB75A9" w:rsidRDefault="009D287A" w:rsidP="00131DD3">
      <w:pPr>
        <w:spacing w:after="120"/>
        <w:rPr>
          <w:rFonts w:cs="Arial"/>
          <w:b/>
          <w:bCs/>
        </w:rPr>
      </w:pPr>
      <w:r>
        <w:rPr>
          <w:rFonts w:cs="Arial"/>
          <w:b/>
          <w:bCs/>
        </w:rPr>
        <w:t xml:space="preserve">Rationale: </w:t>
      </w:r>
    </w:p>
    <w:p w14:paraId="283CDA06" w14:textId="24DEBB47" w:rsidR="00692BFC" w:rsidRDefault="009D287A" w:rsidP="00131DD3">
      <w:pPr>
        <w:spacing w:after="120"/>
        <w:rPr>
          <w:rFonts w:cs="Arial"/>
        </w:rPr>
      </w:pPr>
      <w:r>
        <w:rPr>
          <w:rFonts w:cs="Arial"/>
        </w:rPr>
        <w:t xml:space="preserve">The California amendment </w:t>
      </w:r>
      <w:r w:rsidR="00131DD3">
        <w:rPr>
          <w:rFonts w:cs="Arial"/>
        </w:rPr>
        <w:t>in</w:t>
      </w:r>
      <w:r>
        <w:rPr>
          <w:rFonts w:cs="Arial"/>
        </w:rPr>
        <w:t xml:space="preserve"> item 1</w:t>
      </w:r>
      <w:r w:rsidR="00131DD3">
        <w:rPr>
          <w:rFonts w:cs="Arial"/>
        </w:rPr>
        <w:t xml:space="preserve"> </w:t>
      </w:r>
      <w:r>
        <w:rPr>
          <w:rFonts w:cs="Arial"/>
        </w:rPr>
        <w:t xml:space="preserve">is no longer needed, as </w:t>
      </w:r>
      <w:r w:rsidRPr="00305C4E">
        <w:rPr>
          <w:rFonts w:cs="Arial"/>
        </w:rPr>
        <w:t>the NFPA 13 AUT-SSI Technical Committee</w:t>
      </w:r>
      <w:r>
        <w:rPr>
          <w:rFonts w:cs="Arial"/>
        </w:rPr>
        <w:t xml:space="preserve"> did significant work</w:t>
      </w:r>
      <w:r w:rsidRPr="00305C4E">
        <w:rPr>
          <w:rFonts w:cs="Arial"/>
        </w:rPr>
        <w:t xml:space="preserve"> for the</w:t>
      </w:r>
      <w:r>
        <w:rPr>
          <w:rFonts w:cs="Arial"/>
        </w:rPr>
        <w:t xml:space="preserve"> </w:t>
      </w:r>
      <w:r w:rsidRPr="00305C4E">
        <w:rPr>
          <w:rFonts w:cs="Arial"/>
        </w:rPr>
        <w:t>2025 Edition regarding Sprinkler protection and Sprinkler omission related to</w:t>
      </w:r>
      <w:r>
        <w:rPr>
          <w:rFonts w:cs="Arial"/>
        </w:rPr>
        <w:t xml:space="preserve"> </w:t>
      </w:r>
      <w:r w:rsidRPr="00305C4E">
        <w:rPr>
          <w:rFonts w:cs="Arial"/>
        </w:rPr>
        <w:t>Elevator spaces (Machine and control rooms and Hoistway tops and pits).</w:t>
      </w:r>
      <w:r>
        <w:rPr>
          <w:rFonts w:cs="Arial"/>
        </w:rPr>
        <w:t xml:space="preserve"> The SFM will </w:t>
      </w:r>
      <w:r w:rsidR="00013E8F">
        <w:rPr>
          <w:rFonts w:cs="Arial"/>
        </w:rPr>
        <w:t>evaluate the remainder of the California amendment in future rulemaking.</w:t>
      </w:r>
      <w:r w:rsidR="00D36F04">
        <w:rPr>
          <w:rFonts w:cs="Arial"/>
        </w:rPr>
        <w:t xml:space="preserve"> SFM received a comment during the 45-day public comment period pointing to this issue, and SFM is addressing it in this 15-day Express Terms.</w:t>
      </w:r>
    </w:p>
    <w:p w14:paraId="430E42E4" w14:textId="77777777" w:rsidR="00131DD3" w:rsidRPr="0044593B" w:rsidRDefault="00131DD3" w:rsidP="00131DD3">
      <w:pPr>
        <w:pStyle w:val="Heading4"/>
        <w:spacing w:before="0" w:after="120"/>
      </w:pPr>
      <w:r w:rsidRPr="0044593B">
        <w:t>Notation:</w:t>
      </w:r>
    </w:p>
    <w:p w14:paraId="15290F4E" w14:textId="25341C9E" w:rsidR="00131DD3" w:rsidRPr="0044593B" w:rsidRDefault="00131DD3" w:rsidP="00131DD3">
      <w:pPr>
        <w:spacing w:after="120"/>
        <w:rPr>
          <w:rFonts w:cs="Arial"/>
        </w:rPr>
      </w:pPr>
      <w:r w:rsidRPr="0044593B">
        <w:rPr>
          <w:rFonts w:cs="Arial"/>
        </w:rPr>
        <w:t xml:space="preserve">Authority: </w:t>
      </w:r>
      <w:r w:rsidR="004C19AC" w:rsidRPr="00455DF6">
        <w:rPr>
          <w:rFonts w:cs="Arial"/>
          <w:szCs w:val="24"/>
        </w:rPr>
        <w:t xml:space="preserve">Health and Safety Code Sections </w:t>
      </w:r>
      <w:r w:rsidR="004C19AC" w:rsidRPr="00455DF6">
        <w:rPr>
          <w:rFonts w:cs="Arial"/>
          <w:bCs/>
          <w:szCs w:val="24"/>
        </w:rPr>
        <w:t xml:space="preserve">1250, 1502, 1568.02, 1569.72 - 1569.78, 1597.44 - 1597.65, </w:t>
      </w:r>
      <w:r w:rsidR="004C19AC" w:rsidRPr="00455DF6">
        <w:rPr>
          <w:rFonts w:cs="Arial"/>
          <w:szCs w:val="24"/>
        </w:rPr>
        <w:t xml:space="preserve">13108, </w:t>
      </w:r>
      <w:r w:rsidR="004C19AC" w:rsidRPr="00455DF6">
        <w:rPr>
          <w:rFonts w:cs="Arial"/>
          <w:bCs/>
          <w:szCs w:val="24"/>
        </w:rPr>
        <w:t xml:space="preserve">13108.5, 13114, </w:t>
      </w:r>
      <w:r w:rsidR="004C19AC" w:rsidRPr="00455DF6">
        <w:rPr>
          <w:rFonts w:cs="Arial"/>
          <w:szCs w:val="24"/>
        </w:rPr>
        <w:t xml:space="preserve">13143, </w:t>
      </w:r>
      <w:r w:rsidR="004C19AC" w:rsidRPr="00455DF6">
        <w:rPr>
          <w:rFonts w:cs="Arial"/>
          <w:bCs/>
          <w:szCs w:val="24"/>
        </w:rPr>
        <w:t xml:space="preserve">13143.2, 13143.6, </w:t>
      </w:r>
      <w:r w:rsidR="004C19AC" w:rsidRPr="00455DF6">
        <w:rPr>
          <w:rFonts w:cs="Arial"/>
          <w:szCs w:val="24"/>
        </w:rPr>
        <w:t xml:space="preserve">13145, 13146, 13211, 16022.5, 17921, 18928, 18949.2, 25500 through 25545; Government Code Sections 51176, 51177, 51178, 51179 and 51189; </w:t>
      </w:r>
      <w:r w:rsidR="004C19AC" w:rsidRPr="00455DF6">
        <w:rPr>
          <w:rFonts w:cs="Arial"/>
          <w:bCs/>
          <w:szCs w:val="24"/>
        </w:rPr>
        <w:t xml:space="preserve">Public Education Code 17074.50; </w:t>
      </w:r>
      <w:r w:rsidR="004C19AC" w:rsidRPr="00455DF6">
        <w:rPr>
          <w:rFonts w:cs="Arial"/>
          <w:szCs w:val="24"/>
        </w:rPr>
        <w:t>Public Resources Code Sections 4201 through 4204.</w:t>
      </w:r>
    </w:p>
    <w:p w14:paraId="206052E8" w14:textId="554725AC" w:rsidR="009D287A" w:rsidRDefault="00131DD3" w:rsidP="00131DD3">
      <w:pPr>
        <w:spacing w:after="120"/>
        <w:rPr>
          <w:rFonts w:cs="Arial"/>
        </w:rPr>
      </w:pPr>
      <w:r w:rsidRPr="0044593B">
        <w:rPr>
          <w:rFonts w:cs="Arial"/>
        </w:rPr>
        <w:t xml:space="preserve">Reference(s): </w:t>
      </w:r>
      <w:r w:rsidR="004C19AC" w:rsidRPr="00455DF6">
        <w:rPr>
          <w:rFonts w:cs="Arial"/>
          <w:szCs w:val="24"/>
        </w:rPr>
        <w:t>Health and Safety Code Sections 13108, 13108.5, 13113, 13113.5, 13114, 13132, 13132.7, 13133, 13135, 13143, 13143.1, 13143.2, 13143.6, 13143.9, 13145, 13146, 13210, 13211, 16022.5, 17921.</w:t>
      </w:r>
    </w:p>
    <w:p w14:paraId="65E26C99" w14:textId="46A5F11F" w:rsidR="005C0E19" w:rsidRDefault="005C0E19" w:rsidP="00131DD3">
      <w:pPr>
        <w:pStyle w:val="Heading3"/>
        <w:spacing w:before="360"/>
      </w:pPr>
      <w:r w:rsidRPr="004F3CBD">
        <w:t>ITEM 3</w:t>
      </w:r>
      <w:r>
        <w:t>3</w:t>
      </w:r>
      <w:r w:rsidRPr="004F3CBD">
        <w:t>-6</w:t>
      </w:r>
      <w:r w:rsidRPr="004F3CBD">
        <w:rPr>
          <w:snapToGrid/>
        </w:rPr>
        <w:br/>
      </w:r>
      <w:r w:rsidR="005A0B5D" w:rsidRPr="00350433">
        <w:t xml:space="preserve">Chapter </w:t>
      </w:r>
      <w:r w:rsidR="005A0B5D">
        <w:t>35</w:t>
      </w:r>
      <w:r w:rsidR="005A0B5D" w:rsidRPr="00350433">
        <w:t xml:space="preserve"> Reference Standards</w:t>
      </w:r>
      <w:r w:rsidR="005A0B5D">
        <w:t xml:space="preserve">, </w:t>
      </w:r>
      <w:r w:rsidR="000F394C">
        <w:br/>
      </w:r>
      <w:r w:rsidRPr="004F3CBD">
        <w:t xml:space="preserve">NFPA </w:t>
      </w:r>
    </w:p>
    <w:p w14:paraId="1BF0BC06" w14:textId="77777777" w:rsidR="00131DD3" w:rsidRDefault="00131DD3" w:rsidP="00131DD3">
      <w:pPr>
        <w:rPr>
          <w:rFonts w:cs="Arial"/>
          <w:bCs/>
          <w:snapToGrid/>
          <w:szCs w:val="24"/>
        </w:rPr>
      </w:pPr>
      <w:r w:rsidRPr="004F3CBD">
        <w:rPr>
          <w:rFonts w:cs="Arial"/>
          <w:szCs w:val="24"/>
        </w:rPr>
        <w:t>[</w:t>
      </w:r>
      <w:r w:rsidRPr="004F3CBD">
        <w:rPr>
          <w:rFonts w:cs="Arial"/>
          <w:snapToGrid/>
          <w:szCs w:val="24"/>
        </w:rPr>
        <w:t xml:space="preserve">SFM proposes to adopt Chapter 35 and carry forward existing amendments with modifications that </w:t>
      </w:r>
      <w:r w:rsidRPr="004F3CBD">
        <w:rPr>
          <w:rFonts w:cs="Arial"/>
          <w:bCs/>
          <w:snapToGrid/>
          <w:szCs w:val="24"/>
        </w:rPr>
        <w:t>update the referenced standard to correlate with the most recent edition of the standard. The rulemaking process between the different model codes can cause conflict in the adoption of the latest standards. The proposal is to establish consistency within the parts of the California Buildings Standards Code.]</w:t>
      </w:r>
    </w:p>
    <w:p w14:paraId="349D91D7" w14:textId="4B011B2B" w:rsidR="00131DD3" w:rsidRPr="00D36F04" w:rsidRDefault="00131DD3" w:rsidP="00D36F04">
      <w:pPr>
        <w:spacing w:after="120"/>
        <w:ind w:left="360"/>
        <w:rPr>
          <w:rFonts w:cs="Arial"/>
          <w:szCs w:val="24"/>
        </w:rPr>
      </w:pPr>
      <w:bookmarkStart w:id="5" w:name="_Hlk181625954"/>
      <w:r>
        <w:rPr>
          <w:rFonts w:cs="Arial"/>
          <w:bCs/>
          <w:snapToGrid/>
          <w:szCs w:val="24"/>
        </w:rPr>
        <w:t>…</w:t>
      </w:r>
    </w:p>
    <w:p w14:paraId="18B9BAE5" w14:textId="77777777" w:rsidR="005C0E19" w:rsidRDefault="005C0E19" w:rsidP="00D36F04">
      <w:pPr>
        <w:spacing w:after="120"/>
        <w:ind w:firstLine="360"/>
        <w:rPr>
          <w:rFonts w:cs="Arial"/>
          <w:i/>
          <w:iCs/>
          <w:szCs w:val="24"/>
        </w:rPr>
      </w:pPr>
      <w:bookmarkStart w:id="6" w:name="_Hlk181625664"/>
      <w:bookmarkEnd w:id="5"/>
      <w:r w:rsidRPr="00131DD3">
        <w:rPr>
          <w:rFonts w:cs="Arial"/>
          <w:b/>
          <w:bCs/>
          <w:szCs w:val="24"/>
        </w:rPr>
        <w:t>13—</w:t>
      </w:r>
      <w:r w:rsidRPr="00131DD3">
        <w:rPr>
          <w:rFonts w:cs="Arial"/>
          <w:b/>
          <w:bCs/>
          <w:strike/>
          <w:szCs w:val="24"/>
        </w:rPr>
        <w:t>22</w:t>
      </w:r>
      <w:r w:rsidRPr="00131DD3">
        <w:rPr>
          <w:rFonts w:cs="Arial"/>
          <w:b/>
          <w:bCs/>
          <w:i/>
          <w:iCs/>
          <w:szCs w:val="24"/>
          <w:u w:val="single"/>
        </w:rPr>
        <w:t>25</w:t>
      </w:r>
      <w:r w:rsidRPr="00131DD3">
        <w:rPr>
          <w:rFonts w:cs="Arial"/>
          <w:b/>
          <w:bCs/>
          <w:szCs w:val="24"/>
        </w:rPr>
        <w:t>:</w:t>
      </w:r>
      <w:r w:rsidRPr="00131DD3">
        <w:rPr>
          <w:rFonts w:cs="Arial"/>
          <w:szCs w:val="24"/>
        </w:rPr>
        <w:tab/>
        <w:t xml:space="preserve">Standard for the Installation of Sprinkler Systems </w:t>
      </w:r>
      <w:r w:rsidRPr="00131DD3">
        <w:rPr>
          <w:rFonts w:cs="Arial"/>
          <w:i/>
          <w:iCs/>
          <w:szCs w:val="24"/>
        </w:rPr>
        <w:t>as amended*</w:t>
      </w:r>
    </w:p>
    <w:p w14:paraId="22BC2D00" w14:textId="0261FAE5" w:rsidR="005A0B5D" w:rsidRPr="00131DD3" w:rsidRDefault="005A0B5D" w:rsidP="005A0B5D">
      <w:pPr>
        <w:spacing w:after="120"/>
        <w:ind w:left="360" w:firstLine="360"/>
        <w:rPr>
          <w:rFonts w:cs="Arial"/>
          <w:i/>
          <w:iCs/>
          <w:szCs w:val="24"/>
        </w:rPr>
      </w:pPr>
      <w:bookmarkStart w:id="7" w:name="_Hlk181625685"/>
      <w:r>
        <w:rPr>
          <w:rFonts w:cs="Arial"/>
          <w:i/>
          <w:iCs/>
          <w:szCs w:val="24"/>
        </w:rPr>
        <w:t>…</w:t>
      </w:r>
    </w:p>
    <w:bookmarkEnd w:id="7"/>
    <w:p w14:paraId="247D1BAD" w14:textId="77777777" w:rsidR="00D36F04" w:rsidRDefault="00CB4E1E" w:rsidP="00D36F04">
      <w:pPr>
        <w:spacing w:after="120"/>
        <w:ind w:left="720"/>
        <w:rPr>
          <w:rFonts w:cs="Arial"/>
          <w:b/>
          <w:bCs/>
          <w:i/>
          <w:iCs/>
          <w:dstrike/>
          <w:shd w:val="clear" w:color="auto" w:fill="FFFFFF"/>
        </w:rPr>
      </w:pPr>
      <w:r w:rsidRPr="00D36F04">
        <w:rPr>
          <w:rFonts w:cs="Arial"/>
          <w:b/>
          <w:bCs/>
          <w:i/>
          <w:iCs/>
          <w:dstrike/>
          <w:shd w:val="clear" w:color="auto" w:fill="FFFFFF"/>
        </w:rPr>
        <w:t>Delete Sections 9.3.6.1 and 9.3.6.2</w:t>
      </w:r>
    </w:p>
    <w:p w14:paraId="1CDD1F03" w14:textId="77777777" w:rsidR="00D36F04" w:rsidRDefault="00CB4E1E" w:rsidP="00D36F04">
      <w:pPr>
        <w:spacing w:after="120"/>
        <w:ind w:left="720"/>
        <w:rPr>
          <w:rFonts w:cs="Arial"/>
          <w:b/>
          <w:bCs/>
          <w:i/>
          <w:iCs/>
          <w:dstrike/>
          <w:shd w:val="clear" w:color="auto" w:fill="FFFFFF"/>
        </w:rPr>
      </w:pPr>
      <w:r w:rsidRPr="00D36F04">
        <w:rPr>
          <w:rFonts w:cs="Arial"/>
          <w:b/>
          <w:bCs/>
          <w:i/>
          <w:iCs/>
          <w:dstrike/>
          <w:shd w:val="clear" w:color="auto" w:fill="FFFFFF"/>
        </w:rPr>
        <w:t>9.3.6.1* Reserved.</w:t>
      </w:r>
    </w:p>
    <w:p w14:paraId="0BB045F8" w14:textId="77777777" w:rsidR="00D36F04" w:rsidRDefault="00CB4E1E" w:rsidP="00D36F04">
      <w:pPr>
        <w:spacing w:after="120"/>
        <w:ind w:left="720"/>
        <w:rPr>
          <w:rFonts w:cs="Arial"/>
          <w:b/>
          <w:bCs/>
          <w:i/>
          <w:iCs/>
          <w:dstrike/>
          <w:shd w:val="clear" w:color="auto" w:fill="FFFFFF"/>
        </w:rPr>
      </w:pPr>
      <w:r w:rsidRPr="00D36F04">
        <w:rPr>
          <w:rFonts w:cs="Arial"/>
          <w:b/>
          <w:bCs/>
          <w:i/>
          <w:iCs/>
          <w:dstrike/>
          <w:shd w:val="clear" w:color="auto" w:fill="FFFFFF"/>
        </w:rPr>
        <w:t>9.3.6.2 Reserved.</w:t>
      </w:r>
    </w:p>
    <w:p w14:paraId="0F3FE8A4" w14:textId="77777777" w:rsidR="00D36F04" w:rsidRDefault="00CB4E1E" w:rsidP="00D36F04">
      <w:pPr>
        <w:spacing w:after="120"/>
        <w:ind w:left="720"/>
        <w:rPr>
          <w:rFonts w:cs="Arial"/>
          <w:b/>
          <w:bCs/>
          <w:i/>
          <w:iCs/>
          <w:dstrike/>
          <w:shd w:val="clear" w:color="auto" w:fill="FFFFFF"/>
        </w:rPr>
      </w:pPr>
      <w:r w:rsidRPr="00D36F04">
        <w:rPr>
          <w:rFonts w:cs="Arial"/>
          <w:b/>
          <w:bCs/>
          <w:i/>
          <w:iCs/>
          <w:dstrike/>
          <w:shd w:val="clear" w:color="auto" w:fill="FFFFFF"/>
        </w:rPr>
        <w:t>Revise Section 9.3.6.3 as follows:</w:t>
      </w:r>
    </w:p>
    <w:p w14:paraId="7E6EBD30" w14:textId="3275D3F2" w:rsidR="00CB4E1E" w:rsidRPr="00D36F04" w:rsidRDefault="00CB4E1E" w:rsidP="00D36F04">
      <w:pPr>
        <w:spacing w:after="120"/>
        <w:ind w:left="720"/>
        <w:rPr>
          <w:rFonts w:cs="Arial"/>
          <w:i/>
          <w:iCs/>
          <w:dstrike/>
          <w:shd w:val="clear" w:color="auto" w:fill="FFFFFF"/>
        </w:rPr>
      </w:pPr>
      <w:r w:rsidRPr="00D36F04">
        <w:rPr>
          <w:rFonts w:cs="Arial"/>
          <w:b/>
          <w:bCs/>
          <w:i/>
          <w:iCs/>
          <w:dstrike/>
          <w:shd w:val="clear" w:color="auto" w:fill="FFFFFF"/>
        </w:rPr>
        <w:t>9.3.6.3</w:t>
      </w:r>
      <w:r w:rsidR="00D36F04">
        <w:rPr>
          <w:rFonts w:cs="Arial"/>
          <w:b/>
          <w:bCs/>
          <w:i/>
          <w:iCs/>
          <w:dstrike/>
          <w:shd w:val="clear" w:color="auto" w:fill="FFFFFF"/>
        </w:rPr>
        <w:t xml:space="preserve"> </w:t>
      </w:r>
      <w:r w:rsidRPr="00D36F04">
        <w:rPr>
          <w:rFonts w:cs="Arial"/>
          <w:i/>
          <w:iCs/>
          <w:dstrike/>
          <w:shd w:val="clear" w:color="auto" w:fill="FFFFFF"/>
        </w:rPr>
        <w:t>Automatic fire sprinklers shall not be required in elevator machine rooms, elevator machinery spaces, control spaces or hoistways</w:t>
      </w:r>
      <w:r w:rsidR="00D36F04">
        <w:rPr>
          <w:rFonts w:cs="Arial"/>
          <w:i/>
          <w:iCs/>
          <w:dstrike/>
          <w:shd w:val="clear" w:color="auto" w:fill="FFFFFF"/>
        </w:rPr>
        <w:t xml:space="preserve"> </w:t>
      </w:r>
      <w:r w:rsidRPr="00D36F04">
        <w:rPr>
          <w:rFonts w:cs="Arial"/>
          <w:i/>
          <w:iCs/>
          <w:dstrike/>
          <w:shd w:val="clear" w:color="auto" w:fill="FFFFFF"/>
        </w:rPr>
        <w:t>of traction elevators installed in accordance with the applicable provisions in</w:t>
      </w:r>
      <w:r w:rsidR="00D36F04">
        <w:rPr>
          <w:rFonts w:cs="Arial"/>
          <w:i/>
          <w:iCs/>
          <w:dstrike/>
          <w:shd w:val="clear" w:color="auto" w:fill="FFFFFF"/>
        </w:rPr>
        <w:t xml:space="preserve"> </w:t>
      </w:r>
      <w:r w:rsidRPr="00D36F04">
        <w:rPr>
          <w:rFonts w:cs="Arial"/>
          <w:i/>
          <w:iCs/>
          <w:dstrike/>
          <w:shd w:val="clear" w:color="auto" w:fill="FFFFFF"/>
        </w:rPr>
        <w:t>the</w:t>
      </w:r>
      <w:r w:rsidR="00D36F04">
        <w:rPr>
          <w:rFonts w:cs="Arial"/>
          <w:i/>
          <w:iCs/>
          <w:dstrike/>
          <w:shd w:val="clear" w:color="auto" w:fill="FFFFFF"/>
        </w:rPr>
        <w:t xml:space="preserve"> </w:t>
      </w:r>
      <w:r w:rsidRPr="00D36F04">
        <w:rPr>
          <w:rFonts w:cs="Arial"/>
          <w:i/>
          <w:iCs/>
          <w:dstrike/>
          <w:shd w:val="clear" w:color="auto" w:fill="FFFFFF"/>
        </w:rPr>
        <w:t>California Building Code, where all of the following conditions are met:</w:t>
      </w:r>
    </w:p>
    <w:p w14:paraId="795CCE59" w14:textId="77777777" w:rsidR="00CB4E1E" w:rsidRPr="00D36F04" w:rsidRDefault="00CB4E1E" w:rsidP="00D36F04">
      <w:pPr>
        <w:spacing w:after="120"/>
        <w:ind w:left="1440" w:hanging="360"/>
        <w:rPr>
          <w:rFonts w:cs="Arial"/>
          <w:dstrike/>
          <w:shd w:val="clear" w:color="auto" w:fill="FFFFFF"/>
        </w:rPr>
      </w:pPr>
      <w:r w:rsidRPr="00D36F04">
        <w:rPr>
          <w:rFonts w:cs="Arial"/>
          <w:dstrike/>
          <w:shd w:val="clear" w:color="auto" w:fill="FFFFFF"/>
        </w:rPr>
        <w:t>(1)The elevator machine room, machinery space, control room, control space or hoistway of traction elevator is dedicated to elevator equipment only.</w:t>
      </w:r>
    </w:p>
    <w:p w14:paraId="78652C88" w14:textId="77777777" w:rsidR="00CB4E1E" w:rsidRPr="00D36F04" w:rsidRDefault="00CB4E1E" w:rsidP="00D36F04">
      <w:pPr>
        <w:spacing w:after="120"/>
        <w:ind w:left="1440" w:hanging="360"/>
        <w:rPr>
          <w:rFonts w:cs="Arial"/>
          <w:dstrike/>
          <w:shd w:val="clear" w:color="auto" w:fill="FFFFFF"/>
        </w:rPr>
      </w:pPr>
      <w:r w:rsidRPr="00D36F04">
        <w:rPr>
          <w:rFonts w:cs="Arial"/>
          <w:dstrike/>
          <w:shd w:val="clear" w:color="auto" w:fill="FFFFFF"/>
        </w:rPr>
        <w:t xml:space="preserve">(2)The elevator machinery space, control room, control space or hoistway of </w:t>
      </w:r>
      <w:r w:rsidRPr="00D36F04">
        <w:rPr>
          <w:rFonts w:cs="Arial"/>
          <w:dstrike/>
          <w:shd w:val="clear" w:color="auto" w:fill="FFFFFF"/>
        </w:rPr>
        <w:lastRenderedPageBreak/>
        <w:t>traction elevators is separated from the remainder of the building by walls and floor/ceiling or roof/ceiling assemblies having a fire resistance rating of not less than that specified by the applicable building code.</w:t>
      </w:r>
    </w:p>
    <w:p w14:paraId="5C6A5584" w14:textId="77777777" w:rsidR="00CB4E1E" w:rsidRPr="00D36F04" w:rsidRDefault="00CB4E1E" w:rsidP="00D36F04">
      <w:pPr>
        <w:spacing w:after="120"/>
        <w:ind w:left="1440" w:hanging="360"/>
        <w:rPr>
          <w:rFonts w:cs="Arial"/>
          <w:dstrike/>
          <w:shd w:val="clear" w:color="auto" w:fill="FFFFFF"/>
        </w:rPr>
      </w:pPr>
      <w:r w:rsidRPr="00D36F04">
        <w:rPr>
          <w:rFonts w:cs="Arial"/>
          <w:dstrike/>
          <w:shd w:val="clear" w:color="auto" w:fill="FFFFFF"/>
        </w:rPr>
        <w:t>(3)No materials unrelated to elevator equipment are permitted to be stored in elevator machine rooms, machinery spaces, control rooms, control spaces or hoistways of traction elevators.</w:t>
      </w:r>
    </w:p>
    <w:p w14:paraId="765F8962" w14:textId="77777777" w:rsidR="00CB4E1E" w:rsidRPr="00D36F04" w:rsidRDefault="00CB4E1E" w:rsidP="00D36F04">
      <w:pPr>
        <w:spacing w:after="120"/>
        <w:ind w:left="1440" w:hanging="360"/>
        <w:rPr>
          <w:rFonts w:cs="Arial"/>
          <w:dstrike/>
          <w:shd w:val="clear" w:color="auto" w:fill="FFFFFF"/>
        </w:rPr>
      </w:pPr>
      <w:r w:rsidRPr="00D36F04">
        <w:rPr>
          <w:rFonts w:cs="Arial"/>
          <w:dstrike/>
          <w:shd w:val="clear" w:color="auto" w:fill="FFFFFF"/>
        </w:rPr>
        <w:t>(4)The elevator machinery is not of the hydraulic type.</w:t>
      </w:r>
    </w:p>
    <w:p w14:paraId="5DD86022" w14:textId="77777777" w:rsidR="00D36F04" w:rsidRDefault="001D33E7" w:rsidP="00D36F04">
      <w:pPr>
        <w:spacing w:after="120"/>
        <w:ind w:left="720"/>
        <w:rPr>
          <w:rFonts w:ascii="Arial Bold" w:hAnsi="Arial Bold" w:cs="Arial"/>
          <w:b/>
          <w:bCs/>
          <w:i/>
          <w:iCs/>
          <w:dstrike/>
          <w:shd w:val="clear" w:color="auto" w:fill="FFFFFF"/>
        </w:rPr>
      </w:pPr>
      <w:r w:rsidRPr="00131DD3">
        <w:rPr>
          <w:rFonts w:ascii="Arial Bold" w:hAnsi="Arial Bold" w:cs="Arial"/>
          <w:b/>
          <w:bCs/>
          <w:i/>
          <w:iCs/>
          <w:dstrike/>
          <w:shd w:val="clear" w:color="auto" w:fill="FFFFFF"/>
        </w:rPr>
        <w:t>Add new Section 9.3.6.1.1 as follows:</w:t>
      </w:r>
    </w:p>
    <w:p w14:paraId="70E9D04F" w14:textId="6D50ACC6" w:rsidR="00746D2B" w:rsidRDefault="007A6B6D" w:rsidP="00D36F04">
      <w:pPr>
        <w:spacing w:after="120"/>
        <w:ind w:left="720"/>
        <w:rPr>
          <w:rFonts w:cs="Arial"/>
          <w:i/>
          <w:iCs/>
          <w:dstrike/>
          <w:shd w:val="clear" w:color="auto" w:fill="FFFFFF"/>
        </w:rPr>
      </w:pPr>
      <w:r w:rsidRPr="00131DD3">
        <w:rPr>
          <w:rFonts w:cs="Arial"/>
          <w:b/>
          <w:bCs/>
          <w:i/>
          <w:iCs/>
          <w:dstrike/>
          <w:shd w:val="clear" w:color="auto" w:fill="FFFFFF"/>
        </w:rPr>
        <w:t>9.3.6.1.1</w:t>
      </w:r>
      <w:r w:rsidR="00D36F04">
        <w:rPr>
          <w:rFonts w:cs="Arial"/>
          <w:b/>
          <w:bCs/>
          <w:i/>
          <w:iCs/>
          <w:dstrike/>
          <w:shd w:val="clear" w:color="auto" w:fill="FFFFFF"/>
        </w:rPr>
        <w:t xml:space="preserve"> </w:t>
      </w:r>
      <w:r w:rsidRPr="00131DD3">
        <w:rPr>
          <w:rFonts w:cs="Arial"/>
          <w:i/>
          <w:iCs/>
          <w:dstrike/>
          <w:shd w:val="clear" w:color="auto" w:fill="FFFFFF"/>
        </w:rPr>
        <w:t>The sprinkler required at the top and bottom of the elevator hoistway by 8.15.5.6 shall not be required where permitted by</w:t>
      </w:r>
      <w:r w:rsidR="00D36F04">
        <w:rPr>
          <w:rFonts w:cs="Arial"/>
          <w:i/>
          <w:iCs/>
          <w:dstrike/>
          <w:shd w:val="clear" w:color="auto" w:fill="FFFFFF"/>
        </w:rPr>
        <w:t xml:space="preserve"> </w:t>
      </w:r>
      <w:hyperlink r:id="rId8" w:anchor="CABC2022P4_Ch30" w:history="1">
        <w:r w:rsidRPr="00D36F04">
          <w:rPr>
            <w:rFonts w:cs="Arial"/>
            <w:i/>
            <w:iCs/>
            <w:dstrike/>
          </w:rPr>
          <w:t>Chapter 30</w:t>
        </w:r>
      </w:hyperlink>
      <w:r w:rsidR="00D36F04">
        <w:rPr>
          <w:rFonts w:cs="Arial"/>
          <w:i/>
          <w:iCs/>
          <w:dstrike/>
          <w:shd w:val="clear" w:color="auto" w:fill="FFFFFF"/>
        </w:rPr>
        <w:t xml:space="preserve"> </w:t>
      </w:r>
      <w:r w:rsidRPr="00131DD3">
        <w:rPr>
          <w:rFonts w:cs="Arial"/>
          <w:i/>
          <w:iCs/>
          <w:dstrike/>
          <w:shd w:val="clear" w:color="auto" w:fill="FFFFFF"/>
        </w:rPr>
        <w:t>of the</w:t>
      </w:r>
      <w:r w:rsidR="00D36F04">
        <w:rPr>
          <w:rFonts w:cs="Arial"/>
          <w:i/>
          <w:iCs/>
          <w:dstrike/>
          <w:shd w:val="clear" w:color="auto" w:fill="FFFFFF"/>
        </w:rPr>
        <w:t xml:space="preserve"> </w:t>
      </w:r>
      <w:r w:rsidRPr="00131DD3">
        <w:rPr>
          <w:rFonts w:cs="Arial"/>
          <w:i/>
          <w:iCs/>
          <w:dstrike/>
          <w:shd w:val="clear" w:color="auto" w:fill="FFFFFF"/>
        </w:rPr>
        <w:t>California Building Code</w:t>
      </w:r>
      <w:r w:rsidR="00D36F04">
        <w:rPr>
          <w:rFonts w:cs="Arial"/>
          <w:i/>
          <w:iCs/>
          <w:dstrike/>
          <w:shd w:val="clear" w:color="auto" w:fill="FFFFFF"/>
        </w:rPr>
        <w:t>.</w:t>
      </w:r>
    </w:p>
    <w:bookmarkEnd w:id="6"/>
    <w:p w14:paraId="028E34F9" w14:textId="30298C69" w:rsidR="00D36F04" w:rsidRPr="00D36F04" w:rsidRDefault="00D36F04" w:rsidP="00D36F04">
      <w:pPr>
        <w:spacing w:after="120"/>
        <w:ind w:left="360"/>
        <w:rPr>
          <w:rFonts w:cs="Arial"/>
          <w:szCs w:val="24"/>
        </w:rPr>
      </w:pPr>
      <w:r>
        <w:rPr>
          <w:rFonts w:cs="Arial"/>
          <w:bCs/>
          <w:snapToGrid/>
          <w:szCs w:val="24"/>
        </w:rPr>
        <w:t>…</w:t>
      </w:r>
    </w:p>
    <w:p w14:paraId="52C0D497" w14:textId="3DEE9390" w:rsidR="00DC4E4D" w:rsidRDefault="00DC4E4D" w:rsidP="004A7369">
      <w:pPr>
        <w:spacing w:after="120"/>
        <w:ind w:firstLine="360"/>
        <w:rPr>
          <w:rFonts w:cs="Arial"/>
          <w:szCs w:val="24"/>
        </w:rPr>
      </w:pPr>
      <w:r w:rsidRPr="0062145E">
        <w:rPr>
          <w:rFonts w:cs="Arial"/>
          <w:b/>
          <w:bCs/>
          <w:szCs w:val="24"/>
        </w:rPr>
        <w:t>72—</w:t>
      </w:r>
      <w:r w:rsidRPr="0062145E">
        <w:rPr>
          <w:rFonts w:cs="Arial"/>
          <w:b/>
          <w:bCs/>
          <w:strike/>
          <w:szCs w:val="24"/>
        </w:rPr>
        <w:t>22</w:t>
      </w:r>
      <w:r w:rsidR="00D36F04">
        <w:rPr>
          <w:rFonts w:cs="Arial"/>
          <w:b/>
          <w:bCs/>
          <w:strike/>
          <w:szCs w:val="24"/>
        </w:rPr>
        <w:t xml:space="preserve"> </w:t>
      </w:r>
      <w:r w:rsidRPr="00204198">
        <w:rPr>
          <w:rFonts w:ascii="Arial Bold" w:hAnsi="Arial Bold" w:cs="Arial"/>
          <w:b/>
          <w:bCs/>
          <w:i/>
          <w:iCs/>
          <w:dstrike/>
          <w:szCs w:val="24"/>
        </w:rPr>
        <w:t>24</w:t>
      </w:r>
      <w:r w:rsidR="00204198">
        <w:rPr>
          <w:rFonts w:cs="Arial"/>
          <w:b/>
          <w:bCs/>
          <w:szCs w:val="24"/>
        </w:rPr>
        <w:t xml:space="preserve"> </w:t>
      </w:r>
      <w:r w:rsidR="00D36F04">
        <w:rPr>
          <w:i/>
          <w:iCs/>
        </w:rPr>
        <w:t>[start d</w:t>
      </w:r>
      <w:r w:rsidR="00D36F04" w:rsidRPr="00BB4D9E">
        <w:rPr>
          <w:i/>
          <w:iCs/>
        </w:rPr>
        <w:t>ouble underline</w:t>
      </w:r>
      <w:r w:rsidR="00D36F04">
        <w:rPr>
          <w:i/>
          <w:iCs/>
        </w:rPr>
        <w:t xml:space="preserve">] </w:t>
      </w:r>
      <w:r w:rsidR="00204198" w:rsidRPr="00204198">
        <w:rPr>
          <w:rFonts w:cs="Arial"/>
          <w:b/>
          <w:bCs/>
          <w:i/>
          <w:iCs/>
          <w:szCs w:val="24"/>
          <w:u w:val="double"/>
        </w:rPr>
        <w:t>25</w:t>
      </w:r>
      <w:r w:rsidR="00D36F04">
        <w:rPr>
          <w:rFonts w:cs="Arial"/>
          <w:b/>
          <w:bCs/>
          <w:i/>
          <w:iCs/>
          <w:szCs w:val="24"/>
          <w:u w:val="double"/>
        </w:rPr>
        <w:t xml:space="preserve"> </w:t>
      </w:r>
      <w:r w:rsidR="00D36F04">
        <w:rPr>
          <w:i/>
          <w:iCs/>
        </w:rPr>
        <w:t>[end d</w:t>
      </w:r>
      <w:r w:rsidR="00D36F04" w:rsidRPr="00BB4D9E">
        <w:rPr>
          <w:i/>
          <w:iCs/>
        </w:rPr>
        <w:t>ouble underline</w:t>
      </w:r>
      <w:r w:rsidR="00D36F04">
        <w:rPr>
          <w:i/>
          <w:iCs/>
        </w:rPr>
        <w:t>]</w:t>
      </w:r>
      <w:r w:rsidRPr="0062145E">
        <w:rPr>
          <w:rFonts w:cs="Arial"/>
          <w:b/>
          <w:bCs/>
          <w:szCs w:val="24"/>
        </w:rPr>
        <w:t>:</w:t>
      </w:r>
      <w:r w:rsidRPr="004F3CBD">
        <w:rPr>
          <w:rFonts w:cs="Arial"/>
          <w:szCs w:val="24"/>
        </w:rPr>
        <w:tab/>
        <w:t>National Fire Alarm and Signaling Code</w:t>
      </w:r>
    </w:p>
    <w:p w14:paraId="1A82E8C1" w14:textId="372E2389" w:rsidR="004A7369" w:rsidRPr="004F3CBD" w:rsidRDefault="004A7369" w:rsidP="004A7369">
      <w:pPr>
        <w:spacing w:after="120"/>
        <w:ind w:left="360"/>
        <w:rPr>
          <w:rFonts w:cs="Arial"/>
          <w:szCs w:val="24"/>
        </w:rPr>
      </w:pPr>
      <w:r>
        <w:rPr>
          <w:rFonts w:cs="Arial"/>
          <w:bCs/>
          <w:snapToGrid/>
          <w:szCs w:val="24"/>
        </w:rPr>
        <w:t>…</w:t>
      </w:r>
    </w:p>
    <w:p w14:paraId="46F17CC0" w14:textId="307A8770" w:rsidR="00D36F04" w:rsidRDefault="00D36F04" w:rsidP="00D36F04">
      <w:pPr>
        <w:spacing w:after="240"/>
        <w:rPr>
          <w:rFonts w:cs="Arial"/>
          <w:b/>
          <w:bCs/>
        </w:rPr>
      </w:pPr>
      <w:r>
        <w:rPr>
          <w:rFonts w:cs="Arial"/>
          <w:b/>
          <w:bCs/>
          <w:szCs w:val="24"/>
        </w:rPr>
        <w:t xml:space="preserve">Rationale for NFPA 13: </w:t>
      </w:r>
      <w:r>
        <w:rPr>
          <w:rFonts w:cs="Arial"/>
        </w:rPr>
        <w:t>S</w:t>
      </w:r>
      <w:r w:rsidRPr="008F154F">
        <w:rPr>
          <w:rFonts w:cs="Arial"/>
        </w:rPr>
        <w:t>ignificant work was done by the NFPA 13 AUT-SSI Technical Committee for the</w:t>
      </w:r>
      <w:r>
        <w:rPr>
          <w:rFonts w:cs="Arial"/>
        </w:rPr>
        <w:t xml:space="preserve"> </w:t>
      </w:r>
      <w:r w:rsidRPr="008F154F">
        <w:rPr>
          <w:rFonts w:cs="Arial"/>
        </w:rPr>
        <w:t>2025 Edition regarding Sprinkler protection and Sprinkler omission related to</w:t>
      </w:r>
      <w:r>
        <w:rPr>
          <w:rFonts w:cs="Arial"/>
        </w:rPr>
        <w:t xml:space="preserve"> </w:t>
      </w:r>
      <w:r w:rsidRPr="008F154F">
        <w:rPr>
          <w:rFonts w:cs="Arial"/>
        </w:rPr>
        <w:t>Elevator spaces (Machine and control rooms and Hoistways tops and pits).</w:t>
      </w:r>
      <w:r>
        <w:rPr>
          <w:rFonts w:cs="Arial"/>
        </w:rPr>
        <w:t xml:space="preserve"> </w:t>
      </w:r>
      <w:r w:rsidRPr="008F154F">
        <w:rPr>
          <w:rFonts w:cs="Arial"/>
        </w:rPr>
        <w:t>The new sections in NFPA 13-2025 are consistent with the current 2022 CBC</w:t>
      </w:r>
      <w:r>
        <w:rPr>
          <w:rFonts w:cs="Arial"/>
        </w:rPr>
        <w:t xml:space="preserve"> </w:t>
      </w:r>
      <w:r w:rsidRPr="008F154F">
        <w:rPr>
          <w:rFonts w:cs="Arial"/>
        </w:rPr>
        <w:t>amendments in Chapter 35, and therefore, there is no longer a need to have</w:t>
      </w:r>
      <w:r>
        <w:rPr>
          <w:rFonts w:cs="Arial"/>
        </w:rPr>
        <w:t xml:space="preserve"> </w:t>
      </w:r>
      <w:r w:rsidRPr="008F154F">
        <w:rPr>
          <w:rFonts w:cs="Arial"/>
        </w:rPr>
        <w:t>these amendments to NFPA 13 in CBC Chapter 35 and no need for item # 1 in</w:t>
      </w:r>
      <w:r>
        <w:rPr>
          <w:rFonts w:cs="Arial"/>
        </w:rPr>
        <w:t xml:space="preserve"> </w:t>
      </w:r>
      <w:r w:rsidRPr="008F154F">
        <w:rPr>
          <w:rFonts w:cs="Arial"/>
        </w:rPr>
        <w:t>Section 3005.4.1.</w:t>
      </w:r>
      <w:r>
        <w:rPr>
          <w:rFonts w:cs="Arial"/>
        </w:rPr>
        <w:t xml:space="preserve"> </w:t>
      </w:r>
      <w:r w:rsidRPr="008F154F">
        <w:rPr>
          <w:rFonts w:cs="Arial"/>
          <w:b/>
          <w:bCs/>
        </w:rPr>
        <w:t>These are the new sections in NFPA 13-2025 with Sprinkler omission in elevator</w:t>
      </w:r>
      <w:r>
        <w:rPr>
          <w:rFonts w:cs="Arial"/>
        </w:rPr>
        <w:t xml:space="preserve"> </w:t>
      </w:r>
      <w:r w:rsidRPr="008F154F">
        <w:rPr>
          <w:rFonts w:cs="Arial"/>
          <w:b/>
          <w:bCs/>
        </w:rPr>
        <w:t>pits for all</w:t>
      </w:r>
      <w:r>
        <w:rPr>
          <w:rFonts w:cs="Arial"/>
          <w:b/>
          <w:bCs/>
        </w:rPr>
        <w:t xml:space="preserve"> </w:t>
      </w:r>
      <w:r w:rsidRPr="008F154F">
        <w:rPr>
          <w:rFonts w:cs="Arial"/>
          <w:b/>
          <w:bCs/>
        </w:rPr>
        <w:t>elevators (9.2.14.2) and top of hoistway sprinklers omission for all</w:t>
      </w:r>
      <w:r>
        <w:rPr>
          <w:rFonts w:cs="Arial"/>
        </w:rPr>
        <w:t xml:space="preserve"> </w:t>
      </w:r>
      <w:r w:rsidRPr="008F154F">
        <w:rPr>
          <w:rFonts w:cs="Arial"/>
          <w:b/>
          <w:bCs/>
        </w:rPr>
        <w:t>hydraulic elevators (9.2.14.4.2).</w:t>
      </w:r>
      <w:bookmarkStart w:id="8" w:name="_Hlk181625706"/>
      <w:r>
        <w:rPr>
          <w:rFonts w:cs="Arial"/>
          <w:b/>
          <w:bCs/>
        </w:rPr>
        <w:t xml:space="preserve"> </w:t>
      </w:r>
      <w:r>
        <w:rPr>
          <w:rFonts w:cs="Arial"/>
        </w:rPr>
        <w:t>SFM received a comment during the 45-day public comment period pointing to this issue, and SFM is addressing it in this 15-day Express Terms.</w:t>
      </w:r>
      <w:bookmarkEnd w:id="8"/>
    </w:p>
    <w:p w14:paraId="7455749F" w14:textId="0023A1CB" w:rsidR="002424DE" w:rsidRPr="00D36F04" w:rsidRDefault="00204198" w:rsidP="00D36F04">
      <w:pPr>
        <w:spacing w:after="120"/>
        <w:rPr>
          <w:rFonts w:cs="Arial"/>
        </w:rPr>
      </w:pPr>
      <w:r>
        <w:rPr>
          <w:rFonts w:cs="Arial"/>
          <w:b/>
          <w:bCs/>
          <w:szCs w:val="24"/>
        </w:rPr>
        <w:t>Rationale</w:t>
      </w:r>
      <w:r w:rsidR="00D36F04" w:rsidRPr="00D36F04">
        <w:rPr>
          <w:rFonts w:cs="Arial"/>
          <w:b/>
          <w:bCs/>
          <w:szCs w:val="24"/>
        </w:rPr>
        <w:t xml:space="preserve"> </w:t>
      </w:r>
      <w:r w:rsidR="00D36F04">
        <w:rPr>
          <w:rFonts w:cs="Arial"/>
          <w:b/>
          <w:bCs/>
          <w:szCs w:val="24"/>
        </w:rPr>
        <w:t>for NFPA 72:</w:t>
      </w:r>
      <w:r>
        <w:rPr>
          <w:rFonts w:cs="Arial"/>
          <w:b/>
          <w:bCs/>
          <w:szCs w:val="24"/>
        </w:rPr>
        <w:t xml:space="preserve"> </w:t>
      </w:r>
      <w:r>
        <w:rPr>
          <w:rFonts w:cs="Arial"/>
        </w:rPr>
        <w:t xml:space="preserve">The </w:t>
      </w:r>
      <w:r w:rsidR="00271730">
        <w:rPr>
          <w:rFonts w:cs="Arial"/>
        </w:rPr>
        <w:t>latest edition of NFPA 72 is the 2025 edition. The 2024 year is incorre</w:t>
      </w:r>
      <w:r w:rsidR="00DA1A99">
        <w:rPr>
          <w:rFonts w:cs="Arial"/>
        </w:rPr>
        <w:t>ct.</w:t>
      </w:r>
    </w:p>
    <w:p w14:paraId="45F019B4" w14:textId="77777777" w:rsidR="002424DE" w:rsidRPr="0044593B" w:rsidRDefault="002424DE" w:rsidP="00D36F04">
      <w:pPr>
        <w:pStyle w:val="Heading4"/>
        <w:spacing w:before="0" w:after="120"/>
      </w:pPr>
      <w:r w:rsidRPr="0044593B">
        <w:t>Notation:</w:t>
      </w:r>
    </w:p>
    <w:p w14:paraId="2716FB6A" w14:textId="73CADAC8" w:rsidR="002424DE" w:rsidRPr="0044593B" w:rsidRDefault="002424DE" w:rsidP="00D36F04">
      <w:pPr>
        <w:spacing w:after="120"/>
        <w:rPr>
          <w:rFonts w:cs="Arial"/>
        </w:rPr>
      </w:pPr>
      <w:r w:rsidRPr="0044593B">
        <w:rPr>
          <w:rFonts w:cs="Arial"/>
        </w:rPr>
        <w:t xml:space="preserve">Authority: </w:t>
      </w:r>
      <w:r w:rsidR="004C19AC" w:rsidRPr="00455DF6">
        <w:rPr>
          <w:rFonts w:cs="Arial"/>
          <w:szCs w:val="24"/>
        </w:rPr>
        <w:t xml:space="preserve">Health and Safety Code Sections </w:t>
      </w:r>
      <w:r w:rsidR="004C19AC" w:rsidRPr="00455DF6">
        <w:rPr>
          <w:rFonts w:cs="Arial"/>
          <w:bCs/>
          <w:szCs w:val="24"/>
        </w:rPr>
        <w:t xml:space="preserve">1250, 1502, 1568.02, 1569.72 - 1569.78, 1597.44 - 1597.65, </w:t>
      </w:r>
      <w:r w:rsidR="004C19AC" w:rsidRPr="00455DF6">
        <w:rPr>
          <w:rFonts w:cs="Arial"/>
          <w:szCs w:val="24"/>
        </w:rPr>
        <w:t xml:space="preserve">13108, </w:t>
      </w:r>
      <w:r w:rsidR="004C19AC" w:rsidRPr="00455DF6">
        <w:rPr>
          <w:rFonts w:cs="Arial"/>
          <w:bCs/>
          <w:szCs w:val="24"/>
        </w:rPr>
        <w:t xml:space="preserve">13108.5, 13114, </w:t>
      </w:r>
      <w:r w:rsidR="004C19AC" w:rsidRPr="00455DF6">
        <w:rPr>
          <w:rFonts w:cs="Arial"/>
          <w:szCs w:val="24"/>
        </w:rPr>
        <w:t xml:space="preserve">13143, </w:t>
      </w:r>
      <w:r w:rsidR="004C19AC" w:rsidRPr="00455DF6">
        <w:rPr>
          <w:rFonts w:cs="Arial"/>
          <w:bCs/>
          <w:szCs w:val="24"/>
        </w:rPr>
        <w:t xml:space="preserve">13143.2, 13143.6, </w:t>
      </w:r>
      <w:r w:rsidR="004C19AC" w:rsidRPr="00455DF6">
        <w:rPr>
          <w:rFonts w:cs="Arial"/>
          <w:szCs w:val="24"/>
        </w:rPr>
        <w:t xml:space="preserve">13145, 13146, 13211, 16022.5, 17921, 18928, 18949.2, 25500 through 25545; Government Code Sections 51176, 51177, 51178, 51179 and 51189; </w:t>
      </w:r>
      <w:r w:rsidR="004C19AC" w:rsidRPr="00455DF6">
        <w:rPr>
          <w:rFonts w:cs="Arial"/>
          <w:bCs/>
          <w:szCs w:val="24"/>
        </w:rPr>
        <w:t xml:space="preserve">Public Education Code 17074.50; </w:t>
      </w:r>
      <w:r w:rsidR="004C19AC" w:rsidRPr="00455DF6">
        <w:rPr>
          <w:rFonts w:cs="Arial"/>
          <w:szCs w:val="24"/>
        </w:rPr>
        <w:t>Public Resources Code Sections 4201 through 4204.</w:t>
      </w:r>
    </w:p>
    <w:p w14:paraId="37B7D000" w14:textId="273E5995" w:rsidR="002424DE" w:rsidRPr="00A92619" w:rsidRDefault="002424DE" w:rsidP="004A7369">
      <w:pPr>
        <w:spacing w:after="120"/>
        <w:rPr>
          <w:rFonts w:cs="Arial"/>
        </w:rPr>
      </w:pPr>
      <w:r w:rsidRPr="0044593B">
        <w:rPr>
          <w:rFonts w:cs="Arial"/>
        </w:rPr>
        <w:t xml:space="preserve">Reference(s): </w:t>
      </w:r>
      <w:r w:rsidR="004C19AC" w:rsidRPr="00455DF6">
        <w:rPr>
          <w:rFonts w:cs="Arial"/>
          <w:szCs w:val="24"/>
        </w:rPr>
        <w:t>Health and Safety Code Sections 13108, 13108.5, 13113, 13113.5, 13114, 13132, 13132.7, 13133, 13135, 13143, 13143.1, 13143.2, 13143.6, 13143.9, 13145, 13146, 13210, 13211, 16022.5, 17921.</w:t>
      </w:r>
    </w:p>
    <w:p w14:paraId="7FD613C1" w14:textId="77777777" w:rsidR="00DC4E4D" w:rsidRPr="0044593B" w:rsidRDefault="00DC4E4D" w:rsidP="008F154F">
      <w:pPr>
        <w:spacing w:before="120"/>
        <w:rPr>
          <w:rFonts w:cs="Arial"/>
        </w:rPr>
      </w:pPr>
    </w:p>
    <w:sectPr w:rsidR="00DC4E4D" w:rsidRPr="0044593B" w:rsidSect="007C04EF">
      <w:headerReference w:type="default" r:id="rId9"/>
      <w:footerReference w:type="default" r:id="rId10"/>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E123D" w14:textId="77777777" w:rsidR="008819F1" w:rsidRDefault="008819F1">
      <w:r>
        <w:separator/>
      </w:r>
    </w:p>
  </w:endnote>
  <w:endnote w:type="continuationSeparator" w:id="0">
    <w:p w14:paraId="4C5879E0" w14:textId="77777777" w:rsidR="008819F1" w:rsidRDefault="0088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4E537ED8" w:rsidR="001A4A03" w:rsidRDefault="001A4A03" w:rsidP="007C04EF">
    <w:pPr>
      <w:pStyle w:val="Footer"/>
      <w:tabs>
        <w:tab w:val="clear" w:pos="4320"/>
        <w:tab w:val="clear" w:pos="8640"/>
        <w:tab w:val="right" w:pos="9180"/>
      </w:tabs>
    </w:pPr>
    <w:r>
      <w:t xml:space="preserve">BSC TP-104 (Rev. </w:t>
    </w:r>
    <w:r w:rsidR="00034D29">
      <w:t>10</w:t>
    </w:r>
    <w:r>
      <w:t>/</w:t>
    </w:r>
    <w:r w:rsidR="001D6710">
      <w:t>2</w:t>
    </w:r>
    <w:r w:rsidR="00034D29">
      <w:t>3</w:t>
    </w:r>
    <w:r w:rsidRPr="004C48A0">
      <w:t>)</w:t>
    </w:r>
    <w:r w:rsidR="00EC0A76">
      <w:t xml:space="preserve"> Additional</w:t>
    </w:r>
    <w:r w:rsidR="00A0189B">
      <w:t xml:space="preserve"> 1</w:t>
    </w:r>
    <w:r w:rsidR="002D2D39">
      <w:t>5</w:t>
    </w:r>
    <w:r w:rsidR="00CE220E">
      <w:t xml:space="preserve"> Day Express Terms</w:t>
    </w:r>
    <w:r w:rsidR="00A0189B">
      <w:tab/>
    </w:r>
    <w:r w:rsidR="00B10EDD">
      <w:t>November 4</w:t>
    </w:r>
    <w:r w:rsidR="002D2D39">
      <w:t>, 2024</w:t>
    </w:r>
  </w:p>
  <w:p w14:paraId="723451C6" w14:textId="40A27FEB" w:rsidR="001A4A03" w:rsidRDefault="002D2D39" w:rsidP="007C04EF">
    <w:pPr>
      <w:pStyle w:val="Footer"/>
      <w:tabs>
        <w:tab w:val="clear" w:pos="4320"/>
        <w:tab w:val="clear" w:pos="8640"/>
        <w:tab w:val="center" w:pos="5040"/>
        <w:tab w:val="right" w:pos="9180"/>
      </w:tabs>
      <w:rPr>
        <w:szCs w:val="16"/>
      </w:rPr>
    </w:pPr>
    <w:r>
      <w:rPr>
        <w:szCs w:val="16"/>
      </w:rPr>
      <w:t>SFM</w:t>
    </w:r>
    <w:r w:rsidRPr="00455DF6">
      <w:rPr>
        <w:szCs w:val="16"/>
      </w:rPr>
      <w:t xml:space="preserve"> 04/24 - Part 2 - 2024 Triennial Code Cycle</w:t>
    </w:r>
    <w:r w:rsidR="001A4A03" w:rsidRPr="004C48A0">
      <w:rPr>
        <w:szCs w:val="16"/>
      </w:rPr>
      <w:tab/>
    </w:r>
    <w:r w:rsidR="00A0189B">
      <w:rPr>
        <w:szCs w:val="16"/>
      </w:rPr>
      <w:tab/>
    </w:r>
    <w:r w:rsidR="007763A4">
      <w:rPr>
        <w:szCs w:val="16"/>
      </w:rPr>
      <w:t xml:space="preserve">Additional 15-day </w:t>
    </w:r>
    <w:r w:rsidR="007763A4" w:rsidRPr="007763A4">
      <w:rPr>
        <w:szCs w:val="16"/>
      </w:rPr>
      <w:t>ET</w:t>
    </w:r>
  </w:p>
  <w:p w14:paraId="5C321276" w14:textId="541C44F7" w:rsidR="001A4A03" w:rsidRDefault="002D2D39"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AAD43" w14:textId="77777777" w:rsidR="008819F1" w:rsidRDefault="008819F1">
      <w:r>
        <w:separator/>
      </w:r>
    </w:p>
  </w:footnote>
  <w:footnote w:type="continuationSeparator" w:id="0">
    <w:p w14:paraId="1E15D38B" w14:textId="77777777" w:rsidR="008819F1" w:rsidRDefault="0088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140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801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0E0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4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67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C9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44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4F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8F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64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B7FE6"/>
    <w:multiLevelType w:val="hybridMultilevel"/>
    <w:tmpl w:val="7AA0BEA4"/>
    <w:lvl w:ilvl="0" w:tplc="FDC888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D24B6"/>
    <w:multiLevelType w:val="multilevel"/>
    <w:tmpl w:val="1EF04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BF9566E"/>
    <w:multiLevelType w:val="hybridMultilevel"/>
    <w:tmpl w:val="467C7ADE"/>
    <w:lvl w:ilvl="0" w:tplc="1AFC9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8A15FB"/>
    <w:multiLevelType w:val="multilevel"/>
    <w:tmpl w:val="14C640B4"/>
    <w:lvl w:ilvl="0">
      <w:start w:val="1"/>
      <w:numFmt w:val="decimal"/>
      <w:lvlText w:val="%1."/>
      <w:lvlJc w:val="left"/>
      <w:pPr>
        <w:tabs>
          <w:tab w:val="num" w:pos="720"/>
        </w:tabs>
        <w:ind w:left="720" w:hanging="360"/>
      </w:pPr>
      <w:rPr>
        <w:dstrik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575A4"/>
    <w:multiLevelType w:val="hybridMultilevel"/>
    <w:tmpl w:val="EE42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C3303B"/>
    <w:multiLevelType w:val="hybridMultilevel"/>
    <w:tmpl w:val="F870A2A2"/>
    <w:lvl w:ilvl="0" w:tplc="AC1671B6">
      <w:start w:val="1"/>
      <w:numFmt w:val="bullet"/>
      <w:lvlText w:val=""/>
      <w:lvlJc w:val="left"/>
      <w:pPr>
        <w:ind w:left="1080" w:hanging="360"/>
      </w:pPr>
      <w:rPr>
        <w:rFonts w:ascii="Symbol" w:hAnsi="Symbol"/>
      </w:rPr>
    </w:lvl>
    <w:lvl w:ilvl="1" w:tplc="C9BAA360">
      <w:start w:val="1"/>
      <w:numFmt w:val="bullet"/>
      <w:lvlText w:val=""/>
      <w:lvlJc w:val="left"/>
      <w:pPr>
        <w:ind w:left="1080" w:hanging="360"/>
      </w:pPr>
      <w:rPr>
        <w:rFonts w:ascii="Symbol" w:hAnsi="Symbol"/>
      </w:rPr>
    </w:lvl>
    <w:lvl w:ilvl="2" w:tplc="09148C90">
      <w:start w:val="1"/>
      <w:numFmt w:val="bullet"/>
      <w:lvlText w:val=""/>
      <w:lvlJc w:val="left"/>
      <w:pPr>
        <w:ind w:left="1080" w:hanging="360"/>
      </w:pPr>
      <w:rPr>
        <w:rFonts w:ascii="Symbol" w:hAnsi="Symbol"/>
      </w:rPr>
    </w:lvl>
    <w:lvl w:ilvl="3" w:tplc="121AC9C6">
      <w:start w:val="1"/>
      <w:numFmt w:val="bullet"/>
      <w:lvlText w:val=""/>
      <w:lvlJc w:val="left"/>
      <w:pPr>
        <w:ind w:left="1080" w:hanging="360"/>
      </w:pPr>
      <w:rPr>
        <w:rFonts w:ascii="Symbol" w:hAnsi="Symbol"/>
      </w:rPr>
    </w:lvl>
    <w:lvl w:ilvl="4" w:tplc="2E42F23A">
      <w:start w:val="1"/>
      <w:numFmt w:val="bullet"/>
      <w:lvlText w:val=""/>
      <w:lvlJc w:val="left"/>
      <w:pPr>
        <w:ind w:left="1080" w:hanging="360"/>
      </w:pPr>
      <w:rPr>
        <w:rFonts w:ascii="Symbol" w:hAnsi="Symbol"/>
      </w:rPr>
    </w:lvl>
    <w:lvl w:ilvl="5" w:tplc="6668047A">
      <w:start w:val="1"/>
      <w:numFmt w:val="bullet"/>
      <w:lvlText w:val=""/>
      <w:lvlJc w:val="left"/>
      <w:pPr>
        <w:ind w:left="1080" w:hanging="360"/>
      </w:pPr>
      <w:rPr>
        <w:rFonts w:ascii="Symbol" w:hAnsi="Symbol"/>
      </w:rPr>
    </w:lvl>
    <w:lvl w:ilvl="6" w:tplc="145C8E28">
      <w:start w:val="1"/>
      <w:numFmt w:val="bullet"/>
      <w:lvlText w:val=""/>
      <w:lvlJc w:val="left"/>
      <w:pPr>
        <w:ind w:left="1080" w:hanging="360"/>
      </w:pPr>
      <w:rPr>
        <w:rFonts w:ascii="Symbol" w:hAnsi="Symbol"/>
      </w:rPr>
    </w:lvl>
    <w:lvl w:ilvl="7" w:tplc="1DE40858">
      <w:start w:val="1"/>
      <w:numFmt w:val="bullet"/>
      <w:lvlText w:val=""/>
      <w:lvlJc w:val="left"/>
      <w:pPr>
        <w:ind w:left="1080" w:hanging="360"/>
      </w:pPr>
      <w:rPr>
        <w:rFonts w:ascii="Symbol" w:hAnsi="Symbol"/>
      </w:rPr>
    </w:lvl>
    <w:lvl w:ilvl="8" w:tplc="921E17C8">
      <w:start w:val="1"/>
      <w:numFmt w:val="bullet"/>
      <w:lvlText w:val=""/>
      <w:lvlJc w:val="left"/>
      <w:pPr>
        <w:ind w:left="1080" w:hanging="360"/>
      </w:pPr>
      <w:rPr>
        <w:rFonts w:ascii="Symbol" w:hAnsi="Symbol"/>
      </w:rPr>
    </w:lvl>
  </w:abstractNum>
  <w:abstractNum w:abstractNumId="21" w15:restartNumberingAfterBreak="0">
    <w:nsid w:val="613450B6"/>
    <w:multiLevelType w:val="multilevel"/>
    <w:tmpl w:val="48F2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25850"/>
    <w:multiLevelType w:val="hybridMultilevel"/>
    <w:tmpl w:val="236C4812"/>
    <w:lvl w:ilvl="0" w:tplc="F8C652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26BBC"/>
    <w:multiLevelType w:val="multilevel"/>
    <w:tmpl w:val="D804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8568674">
    <w:abstractNumId w:val="15"/>
  </w:num>
  <w:num w:numId="2" w16cid:durableId="220866318">
    <w:abstractNumId w:val="18"/>
  </w:num>
  <w:num w:numId="3" w16cid:durableId="525170233">
    <w:abstractNumId w:val="19"/>
  </w:num>
  <w:num w:numId="4" w16cid:durableId="607003143">
    <w:abstractNumId w:val="14"/>
  </w:num>
  <w:num w:numId="5" w16cid:durableId="2106607952">
    <w:abstractNumId w:val="16"/>
  </w:num>
  <w:num w:numId="6" w16cid:durableId="2084569972">
    <w:abstractNumId w:val="22"/>
  </w:num>
  <w:num w:numId="7" w16cid:durableId="827283322">
    <w:abstractNumId w:val="9"/>
  </w:num>
  <w:num w:numId="8" w16cid:durableId="1749766102">
    <w:abstractNumId w:val="7"/>
  </w:num>
  <w:num w:numId="9" w16cid:durableId="2007518372">
    <w:abstractNumId w:val="6"/>
  </w:num>
  <w:num w:numId="10" w16cid:durableId="1450926620">
    <w:abstractNumId w:val="5"/>
  </w:num>
  <w:num w:numId="11" w16cid:durableId="941035309">
    <w:abstractNumId w:val="4"/>
  </w:num>
  <w:num w:numId="12" w16cid:durableId="2037998008">
    <w:abstractNumId w:val="8"/>
  </w:num>
  <w:num w:numId="13" w16cid:durableId="1349790842">
    <w:abstractNumId w:val="3"/>
  </w:num>
  <w:num w:numId="14" w16cid:durableId="1043019315">
    <w:abstractNumId w:val="2"/>
  </w:num>
  <w:num w:numId="15" w16cid:durableId="1371414414">
    <w:abstractNumId w:val="1"/>
  </w:num>
  <w:num w:numId="16" w16cid:durableId="1906405964">
    <w:abstractNumId w:val="0"/>
  </w:num>
  <w:num w:numId="17" w16cid:durableId="1370567809">
    <w:abstractNumId w:val="9"/>
  </w:num>
  <w:num w:numId="18" w16cid:durableId="1137071132">
    <w:abstractNumId w:val="7"/>
  </w:num>
  <w:num w:numId="19" w16cid:durableId="605383286">
    <w:abstractNumId w:val="6"/>
  </w:num>
  <w:num w:numId="20" w16cid:durableId="1802457635">
    <w:abstractNumId w:val="5"/>
  </w:num>
  <w:num w:numId="21" w16cid:durableId="191647576">
    <w:abstractNumId w:val="4"/>
  </w:num>
  <w:num w:numId="22" w16cid:durableId="1466237229">
    <w:abstractNumId w:val="8"/>
  </w:num>
  <w:num w:numId="23" w16cid:durableId="261962246">
    <w:abstractNumId w:val="3"/>
  </w:num>
  <w:num w:numId="24" w16cid:durableId="217514697">
    <w:abstractNumId w:val="2"/>
  </w:num>
  <w:num w:numId="25" w16cid:durableId="453134151">
    <w:abstractNumId w:val="1"/>
  </w:num>
  <w:num w:numId="26" w16cid:durableId="1441493293">
    <w:abstractNumId w:val="0"/>
  </w:num>
  <w:num w:numId="27" w16cid:durableId="762265124">
    <w:abstractNumId w:val="9"/>
  </w:num>
  <w:num w:numId="28" w16cid:durableId="1586458081">
    <w:abstractNumId w:val="7"/>
  </w:num>
  <w:num w:numId="29" w16cid:durableId="977997679">
    <w:abstractNumId w:val="6"/>
  </w:num>
  <w:num w:numId="30" w16cid:durableId="1084837496">
    <w:abstractNumId w:val="5"/>
  </w:num>
  <w:num w:numId="31" w16cid:durableId="207571358">
    <w:abstractNumId w:val="4"/>
  </w:num>
  <w:num w:numId="32" w16cid:durableId="696809134">
    <w:abstractNumId w:val="8"/>
  </w:num>
  <w:num w:numId="33" w16cid:durableId="2080052616">
    <w:abstractNumId w:val="3"/>
  </w:num>
  <w:num w:numId="34" w16cid:durableId="188373050">
    <w:abstractNumId w:val="2"/>
  </w:num>
  <w:num w:numId="35" w16cid:durableId="1349331076">
    <w:abstractNumId w:val="1"/>
  </w:num>
  <w:num w:numId="36" w16cid:durableId="1266763957">
    <w:abstractNumId w:val="0"/>
  </w:num>
  <w:num w:numId="37" w16cid:durableId="1447776135">
    <w:abstractNumId w:val="17"/>
  </w:num>
  <w:num w:numId="38" w16cid:durableId="1683241210">
    <w:abstractNumId w:val="10"/>
  </w:num>
  <w:num w:numId="39" w16cid:durableId="802036710">
    <w:abstractNumId w:val="23"/>
  </w:num>
  <w:num w:numId="40" w16cid:durableId="720978050">
    <w:abstractNumId w:val="12"/>
  </w:num>
  <w:num w:numId="41" w16cid:durableId="1603760573">
    <w:abstractNumId w:val="20"/>
  </w:num>
  <w:num w:numId="42" w16cid:durableId="1653870148">
    <w:abstractNumId w:val="21"/>
  </w:num>
  <w:num w:numId="43" w16cid:durableId="1336421363">
    <w:abstractNumId w:val="24"/>
  </w:num>
  <w:num w:numId="44" w16cid:durableId="1085690926">
    <w:abstractNumId w:val="13"/>
  </w:num>
  <w:num w:numId="45" w16cid:durableId="1159074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3E8F"/>
    <w:rsid w:val="00023B9A"/>
    <w:rsid w:val="000257AD"/>
    <w:rsid w:val="00034D29"/>
    <w:rsid w:val="000361E5"/>
    <w:rsid w:val="00045D26"/>
    <w:rsid w:val="00065941"/>
    <w:rsid w:val="00065B04"/>
    <w:rsid w:val="000731E2"/>
    <w:rsid w:val="000845CF"/>
    <w:rsid w:val="000A1DE5"/>
    <w:rsid w:val="000B33E0"/>
    <w:rsid w:val="000C5682"/>
    <w:rsid w:val="000C7383"/>
    <w:rsid w:val="000E24B4"/>
    <w:rsid w:val="000F2EEE"/>
    <w:rsid w:val="000F394C"/>
    <w:rsid w:val="000F6D3A"/>
    <w:rsid w:val="0010163F"/>
    <w:rsid w:val="00123E3A"/>
    <w:rsid w:val="00123F82"/>
    <w:rsid w:val="00131DD3"/>
    <w:rsid w:val="001362F4"/>
    <w:rsid w:val="00147DE7"/>
    <w:rsid w:val="0017531B"/>
    <w:rsid w:val="00175449"/>
    <w:rsid w:val="0018156D"/>
    <w:rsid w:val="001845B6"/>
    <w:rsid w:val="00186944"/>
    <w:rsid w:val="001A02A0"/>
    <w:rsid w:val="001A079B"/>
    <w:rsid w:val="001A4A03"/>
    <w:rsid w:val="001A7302"/>
    <w:rsid w:val="001D09EF"/>
    <w:rsid w:val="001D33E7"/>
    <w:rsid w:val="001D5566"/>
    <w:rsid w:val="001D6710"/>
    <w:rsid w:val="001E12EE"/>
    <w:rsid w:val="001E635B"/>
    <w:rsid w:val="001E7599"/>
    <w:rsid w:val="00202DA7"/>
    <w:rsid w:val="00204198"/>
    <w:rsid w:val="00230474"/>
    <w:rsid w:val="002346BC"/>
    <w:rsid w:val="00234A84"/>
    <w:rsid w:val="00235B37"/>
    <w:rsid w:val="002367DC"/>
    <w:rsid w:val="00236E83"/>
    <w:rsid w:val="002424DE"/>
    <w:rsid w:val="00271730"/>
    <w:rsid w:val="0027685A"/>
    <w:rsid w:val="0028741A"/>
    <w:rsid w:val="002A0905"/>
    <w:rsid w:val="002A30A8"/>
    <w:rsid w:val="002C6C0A"/>
    <w:rsid w:val="002D2D39"/>
    <w:rsid w:val="002D3F86"/>
    <w:rsid w:val="002D5E4A"/>
    <w:rsid w:val="00305C4E"/>
    <w:rsid w:val="0030639B"/>
    <w:rsid w:val="003324BE"/>
    <w:rsid w:val="003417BA"/>
    <w:rsid w:val="00367DED"/>
    <w:rsid w:val="00370010"/>
    <w:rsid w:val="0037506B"/>
    <w:rsid w:val="003759F8"/>
    <w:rsid w:val="00391B17"/>
    <w:rsid w:val="003942B6"/>
    <w:rsid w:val="003B2D09"/>
    <w:rsid w:val="003D00F2"/>
    <w:rsid w:val="003D46A3"/>
    <w:rsid w:val="003E1AB0"/>
    <w:rsid w:val="003E475D"/>
    <w:rsid w:val="0040104D"/>
    <w:rsid w:val="00417CEB"/>
    <w:rsid w:val="004256C0"/>
    <w:rsid w:val="00433E49"/>
    <w:rsid w:val="0044593B"/>
    <w:rsid w:val="00461EDF"/>
    <w:rsid w:val="00461FB5"/>
    <w:rsid w:val="00486FFB"/>
    <w:rsid w:val="004879BC"/>
    <w:rsid w:val="004A53C6"/>
    <w:rsid w:val="004A7369"/>
    <w:rsid w:val="004B2AB9"/>
    <w:rsid w:val="004B48D5"/>
    <w:rsid w:val="004B520D"/>
    <w:rsid w:val="004B5440"/>
    <w:rsid w:val="004C06C3"/>
    <w:rsid w:val="004C19AC"/>
    <w:rsid w:val="004C3C3E"/>
    <w:rsid w:val="004C48A0"/>
    <w:rsid w:val="00502157"/>
    <w:rsid w:val="005032E0"/>
    <w:rsid w:val="00505DBC"/>
    <w:rsid w:val="00555BB7"/>
    <w:rsid w:val="00563190"/>
    <w:rsid w:val="00595801"/>
    <w:rsid w:val="005A0B5D"/>
    <w:rsid w:val="005A5E6A"/>
    <w:rsid w:val="005A6888"/>
    <w:rsid w:val="005B5184"/>
    <w:rsid w:val="005C0E19"/>
    <w:rsid w:val="005C193F"/>
    <w:rsid w:val="005D2DCC"/>
    <w:rsid w:val="005E162F"/>
    <w:rsid w:val="005E1E47"/>
    <w:rsid w:val="005F1117"/>
    <w:rsid w:val="005F1F14"/>
    <w:rsid w:val="005F696F"/>
    <w:rsid w:val="005F6BDF"/>
    <w:rsid w:val="0061175B"/>
    <w:rsid w:val="006169B9"/>
    <w:rsid w:val="00631F79"/>
    <w:rsid w:val="00670B0C"/>
    <w:rsid w:val="006721FC"/>
    <w:rsid w:val="00675E1D"/>
    <w:rsid w:val="00692BFC"/>
    <w:rsid w:val="0069365E"/>
    <w:rsid w:val="0069547F"/>
    <w:rsid w:val="006A6CA5"/>
    <w:rsid w:val="006B747C"/>
    <w:rsid w:val="006C60EB"/>
    <w:rsid w:val="006D3DA6"/>
    <w:rsid w:val="006E0F13"/>
    <w:rsid w:val="006E7720"/>
    <w:rsid w:val="00716A33"/>
    <w:rsid w:val="00716B8B"/>
    <w:rsid w:val="00717291"/>
    <w:rsid w:val="00726F84"/>
    <w:rsid w:val="007379CF"/>
    <w:rsid w:val="00742336"/>
    <w:rsid w:val="00746D2B"/>
    <w:rsid w:val="00752B0C"/>
    <w:rsid w:val="0076222E"/>
    <w:rsid w:val="00766190"/>
    <w:rsid w:val="00767766"/>
    <w:rsid w:val="007763A4"/>
    <w:rsid w:val="00776FA8"/>
    <w:rsid w:val="00786248"/>
    <w:rsid w:val="007915D5"/>
    <w:rsid w:val="00794C03"/>
    <w:rsid w:val="007A674B"/>
    <w:rsid w:val="007A6B6D"/>
    <w:rsid w:val="007C04EF"/>
    <w:rsid w:val="007C4832"/>
    <w:rsid w:val="007E6A6C"/>
    <w:rsid w:val="008021CE"/>
    <w:rsid w:val="0081299A"/>
    <w:rsid w:val="00813C41"/>
    <w:rsid w:val="008246AE"/>
    <w:rsid w:val="00862625"/>
    <w:rsid w:val="008651FB"/>
    <w:rsid w:val="00874876"/>
    <w:rsid w:val="008819F1"/>
    <w:rsid w:val="00885328"/>
    <w:rsid w:val="00890823"/>
    <w:rsid w:val="008A2AC5"/>
    <w:rsid w:val="008A3DD5"/>
    <w:rsid w:val="008A63C7"/>
    <w:rsid w:val="008B3D2A"/>
    <w:rsid w:val="008D0DFD"/>
    <w:rsid w:val="008E36A8"/>
    <w:rsid w:val="008F154F"/>
    <w:rsid w:val="00923E68"/>
    <w:rsid w:val="009247AF"/>
    <w:rsid w:val="00926738"/>
    <w:rsid w:val="0092735E"/>
    <w:rsid w:val="00933897"/>
    <w:rsid w:val="0094202D"/>
    <w:rsid w:val="009462E9"/>
    <w:rsid w:val="00951538"/>
    <w:rsid w:val="00954BE4"/>
    <w:rsid w:val="0097467B"/>
    <w:rsid w:val="00982F18"/>
    <w:rsid w:val="00990FB9"/>
    <w:rsid w:val="00995899"/>
    <w:rsid w:val="009A6124"/>
    <w:rsid w:val="009A693A"/>
    <w:rsid w:val="009C66A3"/>
    <w:rsid w:val="009C7AE5"/>
    <w:rsid w:val="009D096D"/>
    <w:rsid w:val="009D10AD"/>
    <w:rsid w:val="009D287A"/>
    <w:rsid w:val="009E0E79"/>
    <w:rsid w:val="009E64C6"/>
    <w:rsid w:val="009E6B12"/>
    <w:rsid w:val="009F2153"/>
    <w:rsid w:val="00A0189B"/>
    <w:rsid w:val="00A07EE6"/>
    <w:rsid w:val="00A138AA"/>
    <w:rsid w:val="00A50928"/>
    <w:rsid w:val="00A52DCF"/>
    <w:rsid w:val="00A5353C"/>
    <w:rsid w:val="00A60CA1"/>
    <w:rsid w:val="00A63EF9"/>
    <w:rsid w:val="00A813A1"/>
    <w:rsid w:val="00A92619"/>
    <w:rsid w:val="00A96178"/>
    <w:rsid w:val="00AA1121"/>
    <w:rsid w:val="00AA15AD"/>
    <w:rsid w:val="00AA1C11"/>
    <w:rsid w:val="00AA2EB6"/>
    <w:rsid w:val="00AA7818"/>
    <w:rsid w:val="00AC1F10"/>
    <w:rsid w:val="00AC7805"/>
    <w:rsid w:val="00AF4D10"/>
    <w:rsid w:val="00AF4E96"/>
    <w:rsid w:val="00B10EDD"/>
    <w:rsid w:val="00B10FC1"/>
    <w:rsid w:val="00B12576"/>
    <w:rsid w:val="00B361D4"/>
    <w:rsid w:val="00B435D5"/>
    <w:rsid w:val="00B53C67"/>
    <w:rsid w:val="00B6283A"/>
    <w:rsid w:val="00B70495"/>
    <w:rsid w:val="00B977F1"/>
    <w:rsid w:val="00BB4D9E"/>
    <w:rsid w:val="00BD11AF"/>
    <w:rsid w:val="00BD14F1"/>
    <w:rsid w:val="00BE4112"/>
    <w:rsid w:val="00BF3E81"/>
    <w:rsid w:val="00C23148"/>
    <w:rsid w:val="00C30E53"/>
    <w:rsid w:val="00C36475"/>
    <w:rsid w:val="00C44C36"/>
    <w:rsid w:val="00C53CAA"/>
    <w:rsid w:val="00C6643B"/>
    <w:rsid w:val="00C67B72"/>
    <w:rsid w:val="00C70EEB"/>
    <w:rsid w:val="00C906A0"/>
    <w:rsid w:val="00CB4E1E"/>
    <w:rsid w:val="00CB69CE"/>
    <w:rsid w:val="00CB75A9"/>
    <w:rsid w:val="00CE220E"/>
    <w:rsid w:val="00CF2161"/>
    <w:rsid w:val="00CF3372"/>
    <w:rsid w:val="00D04B58"/>
    <w:rsid w:val="00D12106"/>
    <w:rsid w:val="00D13D82"/>
    <w:rsid w:val="00D30882"/>
    <w:rsid w:val="00D36F04"/>
    <w:rsid w:val="00D622EF"/>
    <w:rsid w:val="00D67CC8"/>
    <w:rsid w:val="00D91AE2"/>
    <w:rsid w:val="00D9780A"/>
    <w:rsid w:val="00DA1A99"/>
    <w:rsid w:val="00DB1862"/>
    <w:rsid w:val="00DB2E73"/>
    <w:rsid w:val="00DB5344"/>
    <w:rsid w:val="00DC4E4D"/>
    <w:rsid w:val="00DD1947"/>
    <w:rsid w:val="00DD6C41"/>
    <w:rsid w:val="00E016BA"/>
    <w:rsid w:val="00E22041"/>
    <w:rsid w:val="00E35298"/>
    <w:rsid w:val="00E3628E"/>
    <w:rsid w:val="00E3790F"/>
    <w:rsid w:val="00E45D23"/>
    <w:rsid w:val="00E5214A"/>
    <w:rsid w:val="00E53D35"/>
    <w:rsid w:val="00E64519"/>
    <w:rsid w:val="00E65708"/>
    <w:rsid w:val="00E730BC"/>
    <w:rsid w:val="00E8012A"/>
    <w:rsid w:val="00E813EC"/>
    <w:rsid w:val="00E8579F"/>
    <w:rsid w:val="00E87ADE"/>
    <w:rsid w:val="00EA1267"/>
    <w:rsid w:val="00EA55B4"/>
    <w:rsid w:val="00EA566C"/>
    <w:rsid w:val="00EC0A76"/>
    <w:rsid w:val="00EC1406"/>
    <w:rsid w:val="00ED27E1"/>
    <w:rsid w:val="00EE2D07"/>
    <w:rsid w:val="00EF26E2"/>
    <w:rsid w:val="00F152F2"/>
    <w:rsid w:val="00F17139"/>
    <w:rsid w:val="00F21898"/>
    <w:rsid w:val="00F22CD9"/>
    <w:rsid w:val="00F24574"/>
    <w:rsid w:val="00F310FD"/>
    <w:rsid w:val="00F705EA"/>
    <w:rsid w:val="00F768B4"/>
    <w:rsid w:val="00F87520"/>
    <w:rsid w:val="00F87788"/>
    <w:rsid w:val="00F87B9E"/>
    <w:rsid w:val="00F912D6"/>
    <w:rsid w:val="00F916E4"/>
    <w:rsid w:val="00F97C83"/>
    <w:rsid w:val="00FA7F7A"/>
    <w:rsid w:val="00FB34BE"/>
    <w:rsid w:val="00FD45EA"/>
    <w:rsid w:val="00FE0B77"/>
    <w:rsid w:val="00FF11EA"/>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6E7720"/>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8651FB"/>
    <w:pPr>
      <w:tabs>
        <w:tab w:val="center" w:pos="4320"/>
        <w:tab w:val="right" w:pos="8640"/>
      </w:tabs>
    </w:pPr>
    <w:rPr>
      <w:rFonts w:ascii="Arial Narrow" w:hAnsi="Arial Narrow"/>
      <w:b/>
      <w:caps/>
      <w:sz w:val="16"/>
    </w:rPr>
  </w:style>
  <w:style w:type="paragraph" w:styleId="Footer">
    <w:name w:val="footer"/>
    <w:basedOn w:val="Normal"/>
    <w:link w:val="FooterChar"/>
    <w:rsid w:val="008651FB"/>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8651FB"/>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iPriority w:val="99"/>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FooterChar">
    <w:name w:val="Footer Char"/>
    <w:link w:val="Footer"/>
    <w:rsid w:val="008651FB"/>
    <w:rPr>
      <w:rFonts w:ascii="Arial" w:hAnsi="Arial"/>
      <w:snapToGrid w:val="0"/>
      <w:sz w:val="16"/>
    </w:rPr>
  </w:style>
  <w:style w:type="paragraph" w:styleId="Revision">
    <w:name w:val="Revision"/>
    <w:hidden/>
    <w:uiPriority w:val="99"/>
    <w:semiHidden/>
    <w:rsid w:val="0028741A"/>
    <w:rPr>
      <w:rFonts w:ascii="Arial" w:hAnsi="Arial"/>
      <w:snapToGrid w:val="0"/>
      <w:sz w:val="24"/>
    </w:rPr>
  </w:style>
  <w:style w:type="character" w:customStyle="1" w:styleId="Heading4Char">
    <w:name w:val="Heading 4 Char"/>
    <w:basedOn w:val="DefaultParagraphFont"/>
    <w:link w:val="Heading4"/>
    <w:rsid w:val="006E7720"/>
    <w:rPr>
      <w:rFonts w:ascii="Arial" w:eastAsiaTheme="majorEastAsia" w:hAnsi="Arial" w:cstheme="majorBidi"/>
      <w:b/>
      <w:iCs/>
      <w:snapToGrid w:val="0"/>
      <w:sz w:val="24"/>
    </w:rPr>
  </w:style>
  <w:style w:type="character" w:styleId="PlaceholderText">
    <w:name w:val="Placeholder Text"/>
    <w:basedOn w:val="DefaultParagraphFont"/>
    <w:uiPriority w:val="99"/>
    <w:semiHidden/>
    <w:rsid w:val="00B977F1"/>
    <w:rPr>
      <w:color w:val="808080"/>
    </w:rPr>
  </w:style>
  <w:style w:type="character" w:styleId="Hyperlink">
    <w:name w:val="Hyperlink"/>
    <w:basedOn w:val="DefaultParagraphFont"/>
    <w:unhideWhenUsed/>
    <w:rsid w:val="005032E0"/>
    <w:rPr>
      <w:color w:val="0000FF" w:themeColor="hyperlink"/>
      <w:u w:val="single"/>
    </w:rPr>
  </w:style>
  <w:style w:type="character" w:styleId="UnresolvedMention">
    <w:name w:val="Unresolved Mention"/>
    <w:basedOn w:val="DefaultParagraphFont"/>
    <w:uiPriority w:val="99"/>
    <w:semiHidden/>
    <w:unhideWhenUsed/>
    <w:rsid w:val="005032E0"/>
    <w:rPr>
      <w:color w:val="605E5C"/>
      <w:shd w:val="clear" w:color="auto" w:fill="E1DFDD"/>
    </w:rPr>
  </w:style>
  <w:style w:type="character" w:customStyle="1" w:styleId="bold">
    <w:name w:val="bold"/>
    <w:basedOn w:val="DefaultParagraphFont"/>
    <w:rsid w:val="00045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588">
      <w:bodyDiv w:val="1"/>
      <w:marLeft w:val="0"/>
      <w:marRight w:val="0"/>
      <w:marTop w:val="0"/>
      <w:marBottom w:val="0"/>
      <w:divBdr>
        <w:top w:val="none" w:sz="0" w:space="0" w:color="auto"/>
        <w:left w:val="none" w:sz="0" w:space="0" w:color="auto"/>
        <w:bottom w:val="none" w:sz="0" w:space="0" w:color="auto"/>
        <w:right w:val="none" w:sz="0" w:space="0" w:color="auto"/>
      </w:divBdr>
      <w:divsChild>
        <w:div w:id="786847523">
          <w:marLeft w:val="240"/>
          <w:marRight w:val="0"/>
          <w:marTop w:val="0"/>
          <w:marBottom w:val="0"/>
          <w:divBdr>
            <w:top w:val="none" w:sz="0" w:space="0" w:color="auto"/>
            <w:left w:val="none" w:sz="0" w:space="0" w:color="auto"/>
            <w:bottom w:val="none" w:sz="0" w:space="0" w:color="auto"/>
            <w:right w:val="none" w:sz="0" w:space="0" w:color="auto"/>
          </w:divBdr>
        </w:div>
      </w:divsChild>
    </w:div>
    <w:div w:id="180779645">
      <w:bodyDiv w:val="1"/>
      <w:marLeft w:val="0"/>
      <w:marRight w:val="0"/>
      <w:marTop w:val="0"/>
      <w:marBottom w:val="0"/>
      <w:divBdr>
        <w:top w:val="none" w:sz="0" w:space="0" w:color="auto"/>
        <w:left w:val="none" w:sz="0" w:space="0" w:color="auto"/>
        <w:bottom w:val="none" w:sz="0" w:space="0" w:color="auto"/>
        <w:right w:val="none" w:sz="0" w:space="0" w:color="auto"/>
      </w:divBdr>
      <w:divsChild>
        <w:div w:id="2074544232">
          <w:marLeft w:val="240"/>
          <w:marRight w:val="0"/>
          <w:marTop w:val="0"/>
          <w:marBottom w:val="0"/>
          <w:divBdr>
            <w:top w:val="none" w:sz="0" w:space="0" w:color="auto"/>
            <w:left w:val="none" w:sz="0" w:space="0" w:color="auto"/>
            <w:bottom w:val="none" w:sz="0" w:space="0" w:color="auto"/>
            <w:right w:val="none" w:sz="0" w:space="0" w:color="auto"/>
          </w:divBdr>
        </w:div>
      </w:divsChild>
    </w:div>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535891439">
      <w:bodyDiv w:val="1"/>
      <w:marLeft w:val="0"/>
      <w:marRight w:val="0"/>
      <w:marTop w:val="0"/>
      <w:marBottom w:val="0"/>
      <w:divBdr>
        <w:top w:val="none" w:sz="0" w:space="0" w:color="auto"/>
        <w:left w:val="none" w:sz="0" w:space="0" w:color="auto"/>
        <w:bottom w:val="none" w:sz="0" w:space="0" w:color="auto"/>
        <w:right w:val="none" w:sz="0" w:space="0" w:color="auto"/>
      </w:divBdr>
      <w:divsChild>
        <w:div w:id="296685463">
          <w:marLeft w:val="240"/>
          <w:marRight w:val="0"/>
          <w:marTop w:val="0"/>
          <w:marBottom w:val="0"/>
          <w:divBdr>
            <w:top w:val="none" w:sz="0" w:space="0" w:color="auto"/>
            <w:left w:val="none" w:sz="0" w:space="0" w:color="auto"/>
            <w:bottom w:val="none" w:sz="0" w:space="0" w:color="auto"/>
            <w:right w:val="none" w:sz="0" w:space="0" w:color="auto"/>
          </w:divBdr>
        </w:div>
      </w:divsChild>
    </w:div>
    <w:div w:id="541863335">
      <w:bodyDiv w:val="1"/>
      <w:marLeft w:val="0"/>
      <w:marRight w:val="0"/>
      <w:marTop w:val="0"/>
      <w:marBottom w:val="0"/>
      <w:divBdr>
        <w:top w:val="none" w:sz="0" w:space="0" w:color="auto"/>
        <w:left w:val="none" w:sz="0" w:space="0" w:color="auto"/>
        <w:bottom w:val="none" w:sz="0" w:space="0" w:color="auto"/>
        <w:right w:val="none" w:sz="0" w:space="0" w:color="auto"/>
      </w:divBdr>
    </w:div>
    <w:div w:id="799886546">
      <w:bodyDiv w:val="1"/>
      <w:marLeft w:val="0"/>
      <w:marRight w:val="0"/>
      <w:marTop w:val="0"/>
      <w:marBottom w:val="0"/>
      <w:divBdr>
        <w:top w:val="none" w:sz="0" w:space="0" w:color="auto"/>
        <w:left w:val="none" w:sz="0" w:space="0" w:color="auto"/>
        <w:bottom w:val="none" w:sz="0" w:space="0" w:color="auto"/>
        <w:right w:val="none" w:sz="0" w:space="0" w:color="auto"/>
      </w:divBdr>
    </w:div>
    <w:div w:id="932708911">
      <w:bodyDiv w:val="1"/>
      <w:marLeft w:val="0"/>
      <w:marRight w:val="0"/>
      <w:marTop w:val="0"/>
      <w:marBottom w:val="0"/>
      <w:divBdr>
        <w:top w:val="none" w:sz="0" w:space="0" w:color="auto"/>
        <w:left w:val="none" w:sz="0" w:space="0" w:color="auto"/>
        <w:bottom w:val="none" w:sz="0" w:space="0" w:color="auto"/>
        <w:right w:val="none" w:sz="0" w:space="0" w:color="auto"/>
      </w:divBdr>
      <w:divsChild>
        <w:div w:id="523057271">
          <w:marLeft w:val="240"/>
          <w:marRight w:val="0"/>
          <w:marTop w:val="0"/>
          <w:marBottom w:val="0"/>
          <w:divBdr>
            <w:top w:val="none" w:sz="0" w:space="0" w:color="auto"/>
            <w:left w:val="none" w:sz="0" w:space="0" w:color="auto"/>
            <w:bottom w:val="none" w:sz="0" w:space="0" w:color="auto"/>
            <w:right w:val="none" w:sz="0" w:space="0" w:color="auto"/>
          </w:divBdr>
        </w:div>
      </w:divsChild>
    </w:div>
    <w:div w:id="993797995">
      <w:bodyDiv w:val="1"/>
      <w:marLeft w:val="0"/>
      <w:marRight w:val="0"/>
      <w:marTop w:val="0"/>
      <w:marBottom w:val="0"/>
      <w:divBdr>
        <w:top w:val="none" w:sz="0" w:space="0" w:color="auto"/>
        <w:left w:val="none" w:sz="0" w:space="0" w:color="auto"/>
        <w:bottom w:val="none" w:sz="0" w:space="0" w:color="auto"/>
        <w:right w:val="none" w:sz="0" w:space="0" w:color="auto"/>
      </w:divBdr>
      <w:divsChild>
        <w:div w:id="1334336009">
          <w:marLeft w:val="240"/>
          <w:marRight w:val="0"/>
          <w:marTop w:val="0"/>
          <w:marBottom w:val="0"/>
          <w:divBdr>
            <w:top w:val="none" w:sz="0" w:space="0" w:color="auto"/>
            <w:left w:val="none" w:sz="0" w:space="0" w:color="auto"/>
            <w:bottom w:val="none" w:sz="0" w:space="0" w:color="auto"/>
            <w:right w:val="none" w:sz="0" w:space="0" w:color="auto"/>
          </w:divBdr>
        </w:div>
      </w:divsChild>
    </w:div>
    <w:div w:id="1018584402">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059671230">
      <w:bodyDiv w:val="1"/>
      <w:marLeft w:val="0"/>
      <w:marRight w:val="0"/>
      <w:marTop w:val="0"/>
      <w:marBottom w:val="0"/>
      <w:divBdr>
        <w:top w:val="none" w:sz="0" w:space="0" w:color="auto"/>
        <w:left w:val="none" w:sz="0" w:space="0" w:color="auto"/>
        <w:bottom w:val="none" w:sz="0" w:space="0" w:color="auto"/>
        <w:right w:val="none" w:sz="0" w:space="0" w:color="auto"/>
      </w:divBdr>
      <w:divsChild>
        <w:div w:id="961961255">
          <w:marLeft w:val="24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46634512">
      <w:bodyDiv w:val="1"/>
      <w:marLeft w:val="0"/>
      <w:marRight w:val="0"/>
      <w:marTop w:val="0"/>
      <w:marBottom w:val="0"/>
      <w:divBdr>
        <w:top w:val="none" w:sz="0" w:space="0" w:color="auto"/>
        <w:left w:val="none" w:sz="0" w:space="0" w:color="auto"/>
        <w:bottom w:val="none" w:sz="0" w:space="0" w:color="auto"/>
        <w:right w:val="none" w:sz="0" w:space="0" w:color="auto"/>
      </w:divBdr>
    </w:div>
    <w:div w:id="20872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des.iccsafe.org/content/CABC2022P4/chapter-35-referenced-stand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2656</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SFM-04-24-ET-PT2-15 Day</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SFM-04-24-ET-PT2-15 Day</dc:title>
  <dc:creator>CBSC</dc:creator>
  <cp:lastModifiedBy>Day, Kevin@DGS</cp:lastModifiedBy>
  <cp:revision>6</cp:revision>
  <cp:lastPrinted>2020-05-13T17:58:00Z</cp:lastPrinted>
  <dcterms:created xsi:type="dcterms:W3CDTF">2024-11-05T00:33:00Z</dcterms:created>
  <dcterms:modified xsi:type="dcterms:W3CDTF">2024-11-05T02:43:00Z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db33bffc78fd17801e51eb63514dacd1c5ece1a22a2ca7473ea04ec1e4dc1005</vt:lpwstr>
  </property>
</Properties>
</file>