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1668C09C"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BC6E2F">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BC6E2F" w:rsidRPr="00BC6E2F">
        <w:rPr>
          <w:rFonts w:cs="Arial"/>
        </w:rPr>
        <w:t>CALIFORNIA BUILDING STANDARDS COMMISSION</w:t>
      </w:r>
      <w:r w:rsidR="00767766" w:rsidRPr="0044593B">
        <w:rPr>
          <w:rFonts w:cs="Arial"/>
        </w:rPr>
        <w:br/>
        <w:t xml:space="preserve">REGARDING THE </w:t>
      </w:r>
      <w:r w:rsidR="00BC6E2F" w:rsidRPr="00BC6E2F">
        <w:rPr>
          <w:rFonts w:cs="Arial"/>
        </w:rPr>
        <w:t>2025 CALIFORNIA GREEN BUILDING STANDARDS CODE</w:t>
      </w:r>
      <w:r w:rsidR="00767766" w:rsidRPr="0044593B">
        <w:rPr>
          <w:rFonts w:cs="Arial"/>
        </w:rPr>
        <w:t>,</w:t>
      </w:r>
      <w:r w:rsidR="000C7383">
        <w:rPr>
          <w:rFonts w:cs="Arial"/>
        </w:rPr>
        <w:br/>
      </w:r>
      <w:r w:rsidR="00767766" w:rsidRPr="0044593B">
        <w:rPr>
          <w:rFonts w:cs="Arial"/>
        </w:rPr>
        <w:t xml:space="preserve">CALIFORNIA CODE OF REGULATIONS, TITLE 24, PART </w:t>
      </w:r>
      <w:r w:rsidR="00BC6E2F">
        <w:rPr>
          <w:rFonts w:cs="Arial"/>
        </w:rPr>
        <w:t>11</w:t>
      </w:r>
      <w:r w:rsidR="000C7383">
        <w:rPr>
          <w:rFonts w:cs="Arial"/>
        </w:rPr>
        <w:br/>
      </w:r>
      <w:r w:rsidR="00767766" w:rsidRPr="0044593B">
        <w:rPr>
          <w:rFonts w:cs="Arial"/>
          <w:szCs w:val="24"/>
        </w:rPr>
        <w:t>(</w:t>
      </w:r>
      <w:r w:rsidR="00BC6E2F">
        <w:rPr>
          <w:rFonts w:cs="Arial"/>
          <w:szCs w:val="24"/>
        </w:rPr>
        <w:t>BSC 03</w:t>
      </w:r>
      <w:r w:rsidR="009919D6">
        <w:rPr>
          <w:rFonts w:cs="Arial"/>
          <w:szCs w:val="24"/>
        </w:rPr>
        <w:t>/</w:t>
      </w:r>
      <w:r w:rsidR="00BC6E2F">
        <w:rPr>
          <w:rFonts w:cs="Arial"/>
          <w:szCs w:val="24"/>
        </w:rPr>
        <w:t>24</w:t>
      </w:r>
      <w:r w:rsidR="00767766" w:rsidRPr="0044593B">
        <w:rPr>
          <w:rFonts w:cs="Arial"/>
          <w:szCs w:val="24"/>
        </w:rPr>
        <w:t>)</w:t>
      </w:r>
    </w:p>
    <w:p w14:paraId="77EBDD97" w14:textId="77777777" w:rsidR="00D41BB2" w:rsidRPr="0044593B" w:rsidRDefault="00D41BB2" w:rsidP="00D41BB2">
      <w:pPr>
        <w:spacing w:after="120"/>
        <w:rPr>
          <w:rFonts w:cs="Arial"/>
        </w:rPr>
      </w:pPr>
      <w:bookmarkStart w:id="0" w:name="_Hlk172683042"/>
      <w:bookmarkStart w:id="1" w:name="_Hlk172682795"/>
      <w:r w:rsidRPr="0044593B">
        <w:rPr>
          <w:rFonts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 or 45 days before the agency adopts, amends, or repeals the resulting regulation.</w:t>
      </w:r>
    </w:p>
    <w:p w14:paraId="2EA0EB2F" w14:textId="77777777" w:rsidR="00D41BB2" w:rsidRPr="0044593B" w:rsidRDefault="00D41BB2" w:rsidP="00D41BB2">
      <w:pPr>
        <w:spacing w:after="120"/>
        <w:rPr>
          <w:rFonts w:cs="Arial"/>
        </w:rPr>
      </w:pPr>
      <w:r w:rsidRPr="0044593B">
        <w:rPr>
          <w:rFonts w:cs="Arial"/>
        </w:rPr>
        <w:t xml:space="preserve">Any written comments received regarding the change must be responded to in the final statement of reasons required by Section 11346.9 (Government Code Section 11346.8(c)). </w:t>
      </w:r>
    </w:p>
    <w:p w14:paraId="2B6BC0BA" w14:textId="4E48F9D3" w:rsidR="00DD1947" w:rsidRPr="00D41BB2" w:rsidRDefault="00D41BB2" w:rsidP="00D41BB2">
      <w:pPr>
        <w:pStyle w:val="BodyText3"/>
        <w:pBdr>
          <w:top w:val="single" w:sz="4" w:space="1" w:color="auto"/>
        </w:pBdr>
        <w:spacing w:before="120"/>
        <w:jc w:val="left"/>
        <w:rPr>
          <w:rFonts w:cs="Arial"/>
          <w:szCs w:val="24"/>
          <w:u w:val="single"/>
        </w:rPr>
      </w:pPr>
      <w:r w:rsidRPr="0044593B">
        <w:rPr>
          <w:rFonts w:cs="Arial"/>
          <w:szCs w:val="24"/>
        </w:rPr>
        <w:t>If using assistive technology, please adjust your settings to recognize underline, strikeout</w:t>
      </w:r>
      <w:r>
        <w:rPr>
          <w:rFonts w:cs="Arial"/>
          <w:szCs w:val="24"/>
        </w:rPr>
        <w:t>, double strikeout</w:t>
      </w:r>
      <w:r w:rsidRPr="0044593B">
        <w:rPr>
          <w:rFonts w:cs="Arial"/>
          <w:szCs w:val="24"/>
        </w:rPr>
        <w:t xml:space="preserve">, italics and ellipsis. Double underline </w:t>
      </w:r>
      <w:bookmarkEnd w:id="0"/>
      <w:r w:rsidR="003324BE" w:rsidRPr="0044593B">
        <w:rPr>
          <w:rFonts w:cs="Arial"/>
          <w:szCs w:val="24"/>
        </w:rPr>
        <w:t>will be indicated by parenthetical notes within the text. The notes will not be codified or published in the code.</w:t>
      </w:r>
    </w:p>
    <w:p w14:paraId="5FCD6CAB"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(California only codes - Parts 1, 6, 8, 11, 12)</w:t>
      </w:r>
    </w:p>
    <w:p w14:paraId="7895978F" w14:textId="4EEDB1B9" w:rsidR="00B53C67" w:rsidRPr="0044593B" w:rsidRDefault="00B53C67" w:rsidP="00B53C67">
      <w:pPr>
        <w:pStyle w:val="ListParagraph"/>
        <w:numPr>
          <w:ilvl w:val="0"/>
          <w:numId w:val="5"/>
        </w:numPr>
        <w:rPr>
          <w:rFonts w:cs="Arial"/>
        </w:rPr>
      </w:pPr>
      <w:r w:rsidRPr="0044593B">
        <w:rPr>
          <w:rFonts w:cs="Arial"/>
        </w:rPr>
        <w:t>Existing California amendments appear upright.</w:t>
      </w:r>
    </w:p>
    <w:p w14:paraId="1DE4335A" w14:textId="7B5DFF9A" w:rsidR="00B53C67" w:rsidRPr="0044593B" w:rsidRDefault="00B53C67" w:rsidP="00B53C67">
      <w:pPr>
        <w:pStyle w:val="ListParagraph"/>
        <w:numPr>
          <w:ilvl w:val="0"/>
          <w:numId w:val="5"/>
        </w:numPr>
        <w:rPr>
          <w:rFonts w:cs="Arial"/>
          <w:iCs/>
        </w:rPr>
      </w:pPr>
      <w:r w:rsidRPr="0044593B">
        <w:rPr>
          <w:rFonts w:cs="Arial"/>
        </w:rPr>
        <w:t xml:space="preserve">Unmodified California 45-day amendments appear in </w:t>
      </w:r>
      <w:r w:rsidRPr="0044593B">
        <w:rPr>
          <w:rFonts w:cs="Arial"/>
          <w:iCs/>
          <w:u w:val="single"/>
        </w:rPr>
        <w:t>underline</w:t>
      </w:r>
      <w:r w:rsidRPr="0044593B">
        <w:rPr>
          <w:rFonts w:cs="Arial"/>
          <w:iCs/>
        </w:rPr>
        <w:t xml:space="preserve"> and </w:t>
      </w:r>
      <w:r w:rsidRPr="0044593B">
        <w:rPr>
          <w:rFonts w:cs="Arial"/>
          <w:iCs/>
          <w:strike/>
        </w:rPr>
        <w:t>strikeout</w:t>
      </w:r>
      <w:r w:rsidRPr="0044593B">
        <w:rPr>
          <w:rFonts w:cs="Arial"/>
          <w:iCs/>
        </w:rPr>
        <w:t>.</w:t>
      </w:r>
    </w:p>
    <w:p w14:paraId="5692B479" w14:textId="1D332617" w:rsidR="00B53C67" w:rsidRPr="0044593B" w:rsidRDefault="00B53C67" w:rsidP="00B53C67">
      <w:pPr>
        <w:pStyle w:val="ListParagraph"/>
        <w:numPr>
          <w:ilvl w:val="0"/>
          <w:numId w:val="5"/>
        </w:numPr>
        <w:rPr>
          <w:rFonts w:cs="Arial"/>
          <w:i/>
          <w:u w:val="single"/>
        </w:rPr>
      </w:pPr>
      <w:r w:rsidRPr="0044593B">
        <w:rPr>
          <w:rFonts w:cs="Arial"/>
        </w:rPr>
        <w:t xml:space="preserve">California additional </w:t>
      </w:r>
      <w:r w:rsidR="009919D6">
        <w:rPr>
          <w:rFonts w:cs="Arial"/>
        </w:rPr>
        <w:t>15</w:t>
      </w:r>
      <w:r w:rsidRPr="0044593B">
        <w:rPr>
          <w:rFonts w:cs="Arial"/>
        </w:rPr>
        <w:t xml:space="preserve">-day amendments appear </w:t>
      </w:r>
      <w:proofErr w:type="gramStart"/>
      <w:r w:rsidRPr="0044593B">
        <w:rPr>
          <w:rFonts w:cs="Arial"/>
        </w:rPr>
        <w:t>in</w:t>
      </w:r>
      <w:r w:rsidR="009023D8">
        <w:rPr>
          <w:rFonts w:cs="Arial"/>
        </w:rPr>
        <w:t xml:space="preserve"> </w:t>
      </w:r>
      <w:r w:rsidRPr="0044593B">
        <w:rPr>
          <w:rFonts w:cs="Arial"/>
        </w:rPr>
        <w:t xml:space="preserve"> </w:t>
      </w:r>
      <w:r w:rsidRPr="0044593B">
        <w:rPr>
          <w:rFonts w:cs="Arial"/>
          <w:u w:val="double"/>
        </w:rPr>
        <w:t>double</w:t>
      </w:r>
      <w:proofErr w:type="gramEnd"/>
      <w:r w:rsidRPr="0044593B">
        <w:rPr>
          <w:rFonts w:cs="Arial"/>
          <w:u w:val="double"/>
        </w:rPr>
        <w:t xml:space="preserve"> underline</w:t>
      </w:r>
      <w:r w:rsidRPr="0044593B">
        <w:rPr>
          <w:rFonts w:cs="Arial"/>
        </w:rPr>
        <w:t xml:space="preserve"> and</w:t>
      </w:r>
      <w:r w:rsidR="009023D8">
        <w:rPr>
          <w:rFonts w:cs="Arial"/>
        </w:rPr>
        <w:t xml:space="preserve"> </w:t>
      </w:r>
      <w:r w:rsidRPr="0044593B">
        <w:rPr>
          <w:rFonts w:cs="Arial"/>
          <w:dstrike/>
        </w:rPr>
        <w:t>double strikeout</w:t>
      </w:r>
      <w:r w:rsidRPr="0044593B">
        <w:rPr>
          <w:rFonts w:cs="Arial"/>
        </w:rPr>
        <w:t>.</w:t>
      </w:r>
      <w:r w:rsidR="00C805C3" w:rsidRPr="00C805C3">
        <w:t xml:space="preserve"> </w:t>
      </w:r>
    </w:p>
    <w:p w14:paraId="55226950" w14:textId="408B3BDF" w:rsidR="00B53C67" w:rsidRPr="00EF0B0E" w:rsidRDefault="0028741A" w:rsidP="00B53C67">
      <w:pPr>
        <w:pStyle w:val="ListParagraph"/>
        <w:numPr>
          <w:ilvl w:val="0"/>
          <w:numId w:val="5"/>
        </w:numPr>
        <w:rPr>
          <w:rFonts w:cs="Arial"/>
        </w:rPr>
      </w:pPr>
      <w:r w:rsidRPr="0044593B">
        <w:rPr>
          <w:rFonts w:cs="Arial"/>
        </w:rPr>
        <w:t>Ellips</w:t>
      </w:r>
      <w:r>
        <w:rPr>
          <w:rFonts w:cs="Arial"/>
        </w:rPr>
        <w:t>e</w:t>
      </w:r>
      <w:r w:rsidRPr="0044593B">
        <w:rPr>
          <w:rFonts w:cs="Arial"/>
        </w:rPr>
        <w:t xml:space="preserve">s </w:t>
      </w:r>
      <w:r w:rsidR="00B53C67" w:rsidRPr="0044593B">
        <w:rPr>
          <w:rFonts w:cs="Arial"/>
          <w:szCs w:val="24"/>
        </w:rPr>
        <w:t>(</w:t>
      </w:r>
      <w:r w:rsidR="007F011F">
        <w:rPr>
          <w:rFonts w:eastAsia="Times New Roman" w:cs="Arial"/>
          <w:szCs w:val="24"/>
          <w:lang w:eastAsia="ko-KR"/>
        </w:rPr>
        <w:t>…</w:t>
      </w:r>
      <w:r w:rsidR="00B53C67" w:rsidRPr="0044593B">
        <w:rPr>
          <w:rFonts w:eastAsia="Times New Roman" w:cs="Arial"/>
          <w:szCs w:val="24"/>
          <w:lang w:eastAsia="ko-KR"/>
        </w:rPr>
        <w:t>)</w:t>
      </w:r>
      <w:r w:rsidR="00B53C67" w:rsidRPr="0044593B">
        <w:rPr>
          <w:rFonts w:eastAsia="Times New Roman" w:cs="Arial"/>
          <w:lang w:eastAsia="ko-KR"/>
        </w:rPr>
        <w:t xml:space="preserve"> indicate existing text remains unchanged.</w:t>
      </w:r>
    </w:p>
    <w:p w14:paraId="1D32A9F1" w14:textId="65EDD0CF" w:rsidR="00EF0B0E" w:rsidRDefault="00EF0B0E" w:rsidP="00B53C67">
      <w:pPr>
        <w:pStyle w:val="ListParagraph"/>
        <w:numPr>
          <w:ilvl w:val="0"/>
          <w:numId w:val="5"/>
        </w:numPr>
        <w:rPr>
          <w:rFonts w:cs="Arial"/>
        </w:rPr>
      </w:pPr>
      <w:r w:rsidRPr="00EF0B0E">
        <w:rPr>
          <w:rFonts w:cs="Arial"/>
        </w:rPr>
        <w:t>Rationale: The justification for the change is shown after each section or series of related changes.</w:t>
      </w:r>
    </w:p>
    <w:p w14:paraId="4A5201EA" w14:textId="00278A67" w:rsidR="00D41BB2" w:rsidRPr="00D41BB2" w:rsidRDefault="00D41BB2" w:rsidP="00D41BB2">
      <w:pPr>
        <w:pStyle w:val="BodyText3"/>
        <w:pBdr>
          <w:top w:val="single" w:sz="4" w:space="1" w:color="auto"/>
        </w:pBdr>
        <w:spacing w:before="120"/>
        <w:jc w:val="left"/>
        <w:rPr>
          <w:rFonts w:cs="Arial"/>
          <w:szCs w:val="24"/>
          <w:u w:val="single"/>
        </w:rPr>
      </w:pPr>
    </w:p>
    <w:bookmarkEnd w:id="1"/>
    <w:p w14:paraId="7D4E993D" w14:textId="43D1CEA6" w:rsidR="00767766" w:rsidRPr="0044593B" w:rsidRDefault="00786248" w:rsidP="000C7383">
      <w:pPr>
        <w:pStyle w:val="Heading2"/>
        <w:rPr>
          <w:bCs/>
        </w:rPr>
      </w:pPr>
      <w:r w:rsidRPr="0044593B">
        <w:t>ADDITIONAL</w:t>
      </w:r>
      <w:r w:rsidR="00767766" w:rsidRPr="0044593B">
        <w:t xml:space="preserve"> </w:t>
      </w:r>
      <w:r w:rsidR="000179A3">
        <w:t>15</w:t>
      </w:r>
      <w:r w:rsidRPr="0044593B">
        <w:t xml:space="preserve">-DAY </w:t>
      </w:r>
      <w:r w:rsidR="00767766" w:rsidRPr="0044593B">
        <w:t>EXPRESS TERMS</w:t>
      </w:r>
    </w:p>
    <w:p w14:paraId="2F854EE3" w14:textId="55869381" w:rsidR="000B33E0" w:rsidRPr="0044593B" w:rsidRDefault="001E12EE" w:rsidP="007B09AD">
      <w:pPr>
        <w:pStyle w:val="Heading3"/>
        <w:rPr>
          <w:noProof/>
        </w:rPr>
      </w:pPr>
      <w:bookmarkStart w:id="2" w:name="_Hlk172683126"/>
      <w:r w:rsidRPr="0044593B">
        <w:t>ITEM</w:t>
      </w:r>
      <w:r w:rsidR="000B33E0" w:rsidRPr="0044593B">
        <w:t xml:space="preserve"> </w:t>
      </w:r>
      <w:r w:rsidR="00C9126A">
        <w:rPr>
          <w:noProof/>
        </w:rPr>
        <w:t>1</w:t>
      </w:r>
      <w:r w:rsidR="00391B17" w:rsidRPr="0044593B">
        <w:rPr>
          <w:snapToGrid/>
        </w:rPr>
        <w:br/>
      </w:r>
      <w:r w:rsidR="000B33E0" w:rsidRPr="0044593B">
        <w:t xml:space="preserve">Chapter </w:t>
      </w:r>
      <w:bookmarkStart w:id="3" w:name="_Hlk172685011"/>
      <w:r w:rsidR="00040D18" w:rsidRPr="007F22AD">
        <w:rPr>
          <w:color w:val="000000" w:themeColor="text1"/>
        </w:rPr>
        <w:t>5 NONRESIDENTIAL MANDATORY MEASURES</w:t>
      </w:r>
      <w:r w:rsidR="00786248" w:rsidRPr="0044593B">
        <w:rPr>
          <w:noProof/>
        </w:rPr>
        <w:t>,</w:t>
      </w:r>
      <w:r w:rsidR="00040D18">
        <w:rPr>
          <w:noProof/>
        </w:rPr>
        <w:br/>
      </w:r>
      <w:r w:rsidR="00040D18" w:rsidRPr="007F22AD">
        <w:rPr>
          <w:i/>
          <w:iCs/>
          <w:color w:val="000000" w:themeColor="text1"/>
        </w:rPr>
        <w:t>DIVISION 5.1 – PLANNING AND DESIGN</w:t>
      </w:r>
      <w:r w:rsidR="00040D18">
        <w:br/>
      </w:r>
      <w:r w:rsidR="008F237C" w:rsidRPr="007F22AD">
        <w:rPr>
          <w:color w:val="000000" w:themeColor="text1"/>
        </w:rPr>
        <w:t>SECTION 5.106 SITE PLANNING</w:t>
      </w:r>
      <w:r w:rsidR="008F237C">
        <w:br/>
      </w:r>
      <w:r w:rsidR="00040D18" w:rsidRPr="007F22AD">
        <w:rPr>
          <w:color w:val="000000" w:themeColor="text1"/>
        </w:rPr>
        <w:t>Section 5.106.4.1 Bicycle parking [with subsections]</w:t>
      </w:r>
    </w:p>
    <w:bookmarkEnd w:id="3"/>
    <w:p w14:paraId="60D6504D" w14:textId="77777777" w:rsidR="00FC0232" w:rsidRPr="00FC0232" w:rsidRDefault="00FC0232" w:rsidP="00FC0232">
      <w:pPr>
        <w:snapToGrid w:val="0"/>
        <w:spacing w:after="120"/>
        <w:rPr>
          <w:rFonts w:eastAsia="Calibri"/>
          <w:b/>
          <w:bCs/>
          <w:snapToGrid/>
        </w:rPr>
      </w:pPr>
      <w:r w:rsidRPr="00FC0232">
        <w:rPr>
          <w:rFonts w:eastAsia="Calibri"/>
          <w:b/>
          <w:bCs/>
          <w:snapToGrid/>
        </w:rPr>
        <w:t>5.106.4 Bicycle parking.</w:t>
      </w:r>
      <w:r w:rsidRPr="00FC0232">
        <w:rPr>
          <w:b/>
          <w:bCs/>
          <w:snapToGrid/>
        </w:rPr>
        <w:t xml:space="preserve"> </w:t>
      </w:r>
      <w:r w:rsidRPr="00FC0232">
        <w:rPr>
          <w:rFonts w:eastAsia="Calibri"/>
          <w:snapToGrid/>
        </w:rPr>
        <w:t>For buildings within the authority of California Building Standards Commission as specified in Section 103, comply with Section 5.106.4.1. For buildings within the authority of the Division of the State Architect pursuant to Section 105, comply with Section 5.106.4.2</w:t>
      </w:r>
      <w:r w:rsidRPr="00FC0232">
        <w:rPr>
          <w:rFonts w:eastAsia="Calibri"/>
          <w:b/>
          <w:bCs/>
          <w:snapToGrid/>
        </w:rPr>
        <w:t>.</w:t>
      </w:r>
    </w:p>
    <w:p w14:paraId="18D37F5A" w14:textId="77777777" w:rsidR="00FC0232" w:rsidRPr="00FC0232" w:rsidRDefault="00FC0232" w:rsidP="00FC0232">
      <w:pPr>
        <w:snapToGrid w:val="0"/>
        <w:spacing w:after="120"/>
        <w:ind w:left="270"/>
        <w:rPr>
          <w:noProof/>
          <w:snapToGrid/>
        </w:rPr>
      </w:pPr>
      <w:r w:rsidRPr="00FC0232">
        <w:rPr>
          <w:b/>
          <w:bCs/>
          <w:noProof/>
          <w:snapToGrid/>
        </w:rPr>
        <w:t xml:space="preserve">5.106.4.1 Bicycle parking. [BSC-CG] </w:t>
      </w:r>
      <w:r w:rsidRPr="00FC0232">
        <w:rPr>
          <w:noProof/>
          <w:snapToGrid/>
        </w:rPr>
        <w:t>Comply with Sections 5.106.4.1.1 and 5.106.4.1.2; or meet the applicable local ordinance, whichever is stricter.</w:t>
      </w:r>
    </w:p>
    <w:p w14:paraId="04C97052" w14:textId="77777777" w:rsidR="00FC0232" w:rsidRPr="00FC0232" w:rsidRDefault="00FC0232" w:rsidP="008E206B">
      <w:pPr>
        <w:pStyle w:val="Heading4"/>
        <w:rPr>
          <w:snapToGrid/>
        </w:rPr>
      </w:pPr>
      <w:r w:rsidRPr="00FC0232">
        <w:rPr>
          <w:snapToGrid/>
        </w:rPr>
        <w:lastRenderedPageBreak/>
        <w:t>ITEM 1-1</w:t>
      </w:r>
    </w:p>
    <w:p w14:paraId="3EE6BE59" w14:textId="77777777" w:rsidR="00FC0232" w:rsidRPr="00FC0232" w:rsidRDefault="00FC0232" w:rsidP="00FC0232">
      <w:pPr>
        <w:snapToGrid w:val="0"/>
        <w:spacing w:after="120"/>
        <w:ind w:left="540"/>
        <w:rPr>
          <w:noProof/>
          <w:snapToGrid/>
        </w:rPr>
      </w:pPr>
      <w:r w:rsidRPr="00FC0232">
        <w:rPr>
          <w:b/>
          <w:bCs/>
          <w:noProof/>
          <w:snapToGrid/>
        </w:rPr>
        <w:t xml:space="preserve">5.106.4.1.1 Short-term bicycle parking. </w:t>
      </w:r>
      <w:r w:rsidRPr="00FC0232">
        <w:rPr>
          <w:noProof/>
          <w:snapToGrid/>
        </w:rPr>
        <w:t>If the new project or an addition or alteration is anticipated to generate visitor</w:t>
      </w:r>
      <w:r w:rsidRPr="00FC0232">
        <w:rPr>
          <w:noProof/>
          <w:snapToGrid/>
          <w:u w:val="single"/>
        </w:rPr>
        <w:t>s</w:t>
      </w:r>
      <w:r w:rsidRPr="00FC0232">
        <w:rPr>
          <w:noProof/>
          <w:snapToGrid/>
        </w:rPr>
        <w:t xml:space="preserve"> </w:t>
      </w:r>
      <w:r w:rsidRPr="00FC0232">
        <w:rPr>
          <w:strike/>
          <w:noProof/>
          <w:snapToGrid/>
        </w:rPr>
        <w:t>traffic</w:t>
      </w:r>
      <w:r w:rsidRPr="00FC0232">
        <w:rPr>
          <w:noProof/>
          <w:snapToGrid/>
        </w:rPr>
        <w:t xml:space="preserve">, provide permanently anchored bicycle racks within 200 feet of the visitors’ entrance, readily visible to passers-by, for </w:t>
      </w:r>
      <w:r w:rsidRPr="00FC0232">
        <w:rPr>
          <w:strike/>
          <w:noProof/>
          <w:snapToGrid/>
        </w:rPr>
        <w:t xml:space="preserve">5 </w:t>
      </w:r>
      <w:r w:rsidRPr="00FC0232">
        <w:rPr>
          <w:noProof/>
          <w:snapToGrid/>
          <w:u w:val="single"/>
        </w:rPr>
        <w:t>20</w:t>
      </w:r>
      <w:r w:rsidRPr="00FC0232">
        <w:rPr>
          <w:noProof/>
          <w:snapToGrid/>
        </w:rPr>
        <w:t xml:space="preserve"> percent of </w:t>
      </w:r>
      <w:r w:rsidRPr="00FC0232">
        <w:rPr>
          <w:noProof/>
          <w:snapToGrid/>
          <w:u w:val="single"/>
        </w:rPr>
        <w:t>the peak daily</w:t>
      </w:r>
      <w:r w:rsidRPr="00FC0232">
        <w:rPr>
          <w:noProof/>
          <w:snapToGrid/>
        </w:rPr>
        <w:t xml:space="preserve"> </w:t>
      </w:r>
      <w:r w:rsidRPr="00FC0232">
        <w:rPr>
          <w:strike/>
          <w:noProof/>
          <w:snapToGrid/>
        </w:rPr>
        <w:t>new</w:t>
      </w:r>
      <w:r w:rsidRPr="00FC0232">
        <w:rPr>
          <w:noProof/>
          <w:snapToGrid/>
        </w:rPr>
        <w:t xml:space="preserve"> visitor</w:t>
      </w:r>
      <w:r w:rsidRPr="00FC0232">
        <w:rPr>
          <w:noProof/>
          <w:snapToGrid/>
          <w:u w:val="single"/>
        </w:rPr>
        <w:t xml:space="preserve">s </w:t>
      </w:r>
      <w:r w:rsidRPr="00FC0232">
        <w:rPr>
          <w:strike/>
          <w:noProof/>
          <w:snapToGrid/>
        </w:rPr>
        <w:t>motorized vehicle parking spaces being added,</w:t>
      </w:r>
      <w:r w:rsidRPr="00FC0232">
        <w:rPr>
          <w:noProof/>
          <w:snapToGrid/>
        </w:rPr>
        <w:t xml:space="preserve"> with a minimum of one two-bike capacity rack.</w:t>
      </w:r>
    </w:p>
    <w:p w14:paraId="35213DE4" w14:textId="340C575E" w:rsidR="00FC0232" w:rsidRPr="00FC0232" w:rsidRDefault="00FC0232" w:rsidP="00FC0232">
      <w:pPr>
        <w:snapToGrid w:val="0"/>
        <w:spacing w:after="120"/>
        <w:ind w:left="900"/>
        <w:rPr>
          <w:noProof/>
          <w:snapToGrid/>
        </w:rPr>
      </w:pPr>
      <w:r w:rsidRPr="00FC0232">
        <w:rPr>
          <w:b/>
          <w:bCs/>
          <w:dstrike/>
          <w:noProof/>
          <w:snapToGrid/>
        </w:rPr>
        <w:t xml:space="preserve">Exception: </w:t>
      </w:r>
      <w:r w:rsidRPr="00FC0232">
        <w:rPr>
          <w:dstrike/>
          <w:noProof/>
          <w:snapToGrid/>
        </w:rPr>
        <w:t>Additions or alterations which add nine or less visitor</w:t>
      </w:r>
      <w:r w:rsidRPr="00FC0232">
        <w:rPr>
          <w:dstrike/>
          <w:noProof/>
          <w:snapToGrid/>
          <w:u w:val="single"/>
        </w:rPr>
        <w:t>s.</w:t>
      </w:r>
      <w:r w:rsidRPr="00C14D46">
        <w:rPr>
          <w:strike/>
          <w:noProof/>
          <w:snapToGrid/>
        </w:rPr>
        <w:t xml:space="preserve"> v</w:t>
      </w:r>
      <w:r w:rsidRPr="00FC0232">
        <w:rPr>
          <w:strike/>
          <w:noProof/>
          <w:snapToGrid/>
        </w:rPr>
        <w:t>ehicular parking spaces.</w:t>
      </w:r>
    </w:p>
    <w:p w14:paraId="57501A56" w14:textId="77777777" w:rsidR="00FC0232" w:rsidRPr="00C14D46" w:rsidRDefault="00FC0232" w:rsidP="008E206B">
      <w:pPr>
        <w:pStyle w:val="Heading4"/>
        <w:rPr>
          <w:noProof/>
          <w:snapToGrid/>
        </w:rPr>
      </w:pPr>
      <w:r w:rsidRPr="00C14D46">
        <w:rPr>
          <w:noProof/>
          <w:snapToGrid/>
        </w:rPr>
        <w:t>ITEM 1-2</w:t>
      </w:r>
    </w:p>
    <w:p w14:paraId="2AD09FB1" w14:textId="5361601C" w:rsidR="005B307F" w:rsidRPr="00C14D46" w:rsidRDefault="00FC0232" w:rsidP="00F17C0C">
      <w:pPr>
        <w:snapToGrid w:val="0"/>
        <w:spacing w:after="120"/>
        <w:ind w:left="540"/>
        <w:rPr>
          <w:iCs/>
          <w:snapToGrid/>
          <w:u w:val="double"/>
        </w:rPr>
      </w:pPr>
      <w:bookmarkStart w:id="4" w:name="_Hlk172296168"/>
      <w:r w:rsidRPr="00C14D46">
        <w:rPr>
          <w:b/>
          <w:bCs/>
          <w:iCs/>
          <w:noProof/>
          <w:snapToGrid/>
        </w:rPr>
        <w:t>5.106.4.1.2 Long-term bicycle parking</w:t>
      </w:r>
      <w:bookmarkEnd w:id="4"/>
      <w:r w:rsidRPr="00C14D46">
        <w:rPr>
          <w:b/>
          <w:bCs/>
          <w:iCs/>
          <w:noProof/>
          <w:snapToGrid/>
        </w:rPr>
        <w:t xml:space="preserve">. </w:t>
      </w:r>
      <w:r w:rsidRPr="00C14D46">
        <w:rPr>
          <w:iCs/>
          <w:noProof/>
          <w:snapToGrid/>
        </w:rPr>
        <w:t xml:space="preserve">For new buildings with tenant spaces </w:t>
      </w:r>
      <w:r w:rsidRPr="00C14D46">
        <w:rPr>
          <w:iCs/>
          <w:dstrike/>
          <w:noProof/>
          <w:snapToGrid/>
        </w:rPr>
        <w:t>that have 10 or more tenant-occupants</w:t>
      </w:r>
      <w:r w:rsidRPr="00C14D46">
        <w:rPr>
          <w:iCs/>
          <w:noProof/>
          <w:snapToGrid/>
        </w:rPr>
        <w:t xml:space="preserve">, provide secure bicycle parking for </w:t>
      </w:r>
      <w:r w:rsidRPr="00C14D46">
        <w:rPr>
          <w:iCs/>
          <w:strike/>
          <w:noProof/>
          <w:snapToGrid/>
        </w:rPr>
        <w:t>5</w:t>
      </w:r>
      <w:r w:rsidRPr="00C14D46">
        <w:rPr>
          <w:iCs/>
          <w:noProof/>
          <w:snapToGrid/>
        </w:rPr>
        <w:t xml:space="preserve"> </w:t>
      </w:r>
      <w:r w:rsidRPr="00C14D46">
        <w:rPr>
          <w:iCs/>
          <w:noProof/>
          <w:snapToGrid/>
          <w:u w:val="single"/>
        </w:rPr>
        <w:t>10</w:t>
      </w:r>
      <w:r w:rsidRPr="00C14D46">
        <w:rPr>
          <w:iCs/>
          <w:noProof/>
          <w:snapToGrid/>
        </w:rPr>
        <w:t xml:space="preserve"> </w:t>
      </w:r>
      <w:r w:rsidRPr="00C14D46">
        <w:rPr>
          <w:iCs/>
          <w:strike/>
          <w:noProof/>
          <w:snapToGrid/>
        </w:rPr>
        <w:t xml:space="preserve"> </w:t>
      </w:r>
      <w:r w:rsidRPr="00C14D46">
        <w:rPr>
          <w:iCs/>
          <w:noProof/>
          <w:snapToGrid/>
        </w:rPr>
        <w:t>percent of the tenant-occupant</w:t>
      </w:r>
      <w:r w:rsidRPr="00C14D46">
        <w:rPr>
          <w:iCs/>
          <w:noProof/>
          <w:snapToGrid/>
          <w:u w:val="single"/>
        </w:rPr>
        <w:t>s</w:t>
      </w:r>
      <w:r w:rsidRPr="00C14D46">
        <w:rPr>
          <w:iCs/>
          <w:strike/>
          <w:noProof/>
          <w:snapToGrid/>
        </w:rPr>
        <w:t xml:space="preserve"> vehicular parking spaces</w:t>
      </w:r>
      <w:r w:rsidRPr="00C14D46">
        <w:rPr>
          <w:iCs/>
          <w:noProof/>
          <w:snapToGrid/>
        </w:rPr>
        <w:t xml:space="preserve"> with a minimum of one bicycle parking facility.</w:t>
      </w:r>
      <w:r w:rsidRPr="00C14D46">
        <w:rPr>
          <w:iCs/>
          <w:snapToGrid/>
        </w:rPr>
        <w:t xml:space="preserve"> </w:t>
      </w:r>
      <w:r w:rsidR="00C61163" w:rsidRPr="00C14D46">
        <w:rPr>
          <w:iCs/>
        </w:rPr>
        <w:t xml:space="preserve">[begin double underline] </w:t>
      </w:r>
      <w:r w:rsidR="00F17C0C" w:rsidRPr="00C14D46">
        <w:rPr>
          <w:iCs/>
          <w:snapToGrid/>
          <w:u w:val="double"/>
        </w:rPr>
        <w:t>Calculations for bicycle parking requirements shall be rounded up to the nearest whole number.</w:t>
      </w:r>
    </w:p>
    <w:p w14:paraId="370F2C29" w14:textId="40B67028" w:rsidR="00FC0232" w:rsidRPr="00C14D46" w:rsidRDefault="00FC0232" w:rsidP="00F17C0C">
      <w:pPr>
        <w:snapToGrid w:val="0"/>
        <w:spacing w:after="120"/>
        <w:ind w:left="540"/>
        <w:rPr>
          <w:iCs/>
          <w:noProof/>
          <w:snapToGrid/>
          <w:u w:val="double"/>
        </w:rPr>
      </w:pPr>
      <w:r w:rsidRPr="00C14D46">
        <w:rPr>
          <w:iCs/>
          <w:noProof/>
          <w:snapToGrid/>
          <w:u w:val="double"/>
        </w:rPr>
        <w:t>Acceptable bicycle parking facility for Sections 5.106.4.1.2, 5.106.4.1.2.1 and 5.106.4.1.2.2 shall be conveniently located near the street and shall meet one of the following:</w:t>
      </w:r>
    </w:p>
    <w:p w14:paraId="5C1DEF58" w14:textId="77777777" w:rsidR="00FC0232" w:rsidRPr="00C14D46" w:rsidRDefault="00FC0232" w:rsidP="00FC0232">
      <w:pPr>
        <w:snapToGrid w:val="0"/>
        <w:spacing w:after="120"/>
        <w:ind w:left="720"/>
        <w:rPr>
          <w:iCs/>
          <w:noProof/>
          <w:snapToGrid/>
          <w:u w:val="double"/>
        </w:rPr>
      </w:pPr>
      <w:r w:rsidRPr="00C14D46">
        <w:rPr>
          <w:iCs/>
          <w:noProof/>
          <w:snapToGrid/>
          <w:u w:val="double"/>
        </w:rPr>
        <w:t>1. Covered, lockable enclosures with permanently anchored racks for bicycles;</w:t>
      </w:r>
    </w:p>
    <w:p w14:paraId="0373E3A1" w14:textId="77777777" w:rsidR="00FC0232" w:rsidRPr="00C14D46" w:rsidRDefault="00FC0232" w:rsidP="00FC0232">
      <w:pPr>
        <w:snapToGrid w:val="0"/>
        <w:spacing w:after="120"/>
        <w:ind w:left="720"/>
        <w:rPr>
          <w:iCs/>
          <w:noProof/>
          <w:snapToGrid/>
          <w:u w:val="double"/>
        </w:rPr>
      </w:pPr>
      <w:r w:rsidRPr="00C14D46">
        <w:rPr>
          <w:iCs/>
          <w:noProof/>
          <w:snapToGrid/>
          <w:u w:val="double"/>
        </w:rPr>
        <w:t>2. Lockable bicycle rooms with permanently anchored racks; or</w:t>
      </w:r>
    </w:p>
    <w:p w14:paraId="0FF0571B" w14:textId="371F2217" w:rsidR="00FC0232" w:rsidRPr="00C14D46" w:rsidRDefault="00FC0232" w:rsidP="00FC0232">
      <w:pPr>
        <w:snapToGrid w:val="0"/>
        <w:spacing w:after="120"/>
        <w:ind w:left="720"/>
        <w:jc w:val="both"/>
        <w:rPr>
          <w:iCs/>
          <w:noProof/>
          <w:snapToGrid/>
          <w:u w:val="double"/>
        </w:rPr>
      </w:pPr>
      <w:r w:rsidRPr="00C14D46">
        <w:rPr>
          <w:iCs/>
          <w:noProof/>
          <w:snapToGrid/>
          <w:u w:val="double"/>
        </w:rPr>
        <w:t>3. Lockable, permanently anchored bicycle lockers.</w:t>
      </w:r>
      <w:r w:rsidR="00C61163" w:rsidRPr="00C14D46">
        <w:rPr>
          <w:iCs/>
        </w:rPr>
        <w:t xml:space="preserve"> [end double underline]</w:t>
      </w:r>
    </w:p>
    <w:p w14:paraId="124A6274" w14:textId="3909B3FB" w:rsidR="00FC0232" w:rsidRPr="00C14D46" w:rsidRDefault="00FC0232" w:rsidP="00FC0232">
      <w:pPr>
        <w:snapToGrid w:val="0"/>
        <w:spacing w:after="120"/>
        <w:ind w:left="1440"/>
        <w:rPr>
          <w:iCs/>
          <w:noProof/>
          <w:snapToGrid/>
        </w:rPr>
      </w:pPr>
      <w:r w:rsidRPr="00C14D46">
        <w:rPr>
          <w:b/>
          <w:bCs/>
          <w:iCs/>
          <w:noProof/>
          <w:snapToGrid/>
        </w:rPr>
        <w:t>5.106.4.1.</w:t>
      </w:r>
      <w:r w:rsidRPr="00C14D46">
        <w:rPr>
          <w:b/>
          <w:bCs/>
          <w:iCs/>
          <w:strike/>
          <w:noProof/>
          <w:snapToGrid/>
        </w:rPr>
        <w:t>3.</w:t>
      </w:r>
      <w:r w:rsidRPr="00C14D46">
        <w:rPr>
          <w:b/>
          <w:bCs/>
          <w:iCs/>
          <w:noProof/>
          <w:snapToGrid/>
          <w:u w:val="single"/>
        </w:rPr>
        <w:t>2.1</w:t>
      </w:r>
      <w:r w:rsidRPr="00C14D46">
        <w:rPr>
          <w:b/>
          <w:bCs/>
          <w:iCs/>
          <w:noProof/>
          <w:snapToGrid/>
        </w:rPr>
        <w:t xml:space="preserve">. </w:t>
      </w:r>
      <w:r w:rsidRPr="00C14D46">
        <w:rPr>
          <w:iCs/>
          <w:noProof/>
          <w:snapToGrid/>
        </w:rPr>
        <w:t xml:space="preserve">For additions or alterations </w:t>
      </w:r>
      <w:r w:rsidRPr="00C14D46">
        <w:rPr>
          <w:iCs/>
          <w:dstrike/>
          <w:noProof/>
          <w:snapToGrid/>
        </w:rPr>
        <w:t>that add 10 or more tenant-occupant</w:t>
      </w:r>
      <w:r w:rsidRPr="00C14D46">
        <w:rPr>
          <w:iCs/>
          <w:dstrike/>
          <w:noProof/>
          <w:snapToGrid/>
          <w:u w:val="single"/>
        </w:rPr>
        <w:t>s</w:t>
      </w:r>
      <w:r w:rsidR="00C14D46" w:rsidRPr="00C14D46">
        <w:rPr>
          <w:iCs/>
          <w:noProof/>
          <w:snapToGrid/>
        </w:rPr>
        <w:t xml:space="preserve"> </w:t>
      </w:r>
      <w:r w:rsidRPr="00C14D46">
        <w:rPr>
          <w:iCs/>
          <w:strike/>
          <w:noProof/>
          <w:snapToGrid/>
        </w:rPr>
        <w:t>vehicular parking spaces</w:t>
      </w:r>
      <w:r w:rsidRPr="00C14D46">
        <w:rPr>
          <w:iCs/>
          <w:noProof/>
          <w:snapToGrid/>
        </w:rPr>
        <w:t xml:space="preserve">, provide secure bicycle parking for </w:t>
      </w:r>
      <w:r w:rsidRPr="00C14D46">
        <w:rPr>
          <w:iCs/>
          <w:strike/>
          <w:noProof/>
          <w:snapToGrid/>
        </w:rPr>
        <w:t>5</w:t>
      </w:r>
      <w:r w:rsidRPr="00C14D46">
        <w:rPr>
          <w:iCs/>
          <w:noProof/>
          <w:snapToGrid/>
        </w:rPr>
        <w:t xml:space="preserve"> </w:t>
      </w:r>
      <w:r w:rsidRPr="00C14D46">
        <w:rPr>
          <w:iCs/>
          <w:noProof/>
          <w:snapToGrid/>
          <w:u w:val="single"/>
        </w:rPr>
        <w:t>10</w:t>
      </w:r>
      <w:r w:rsidRPr="00C14D46">
        <w:rPr>
          <w:iCs/>
          <w:noProof/>
          <w:snapToGrid/>
        </w:rPr>
        <w:t xml:space="preserve"> percent of the tenant</w:t>
      </w:r>
      <w:r w:rsidRPr="00C14D46">
        <w:rPr>
          <w:iCs/>
          <w:noProof/>
          <w:snapToGrid/>
          <w:u w:val="single"/>
        </w:rPr>
        <w:t xml:space="preserve">-occupants </w:t>
      </w:r>
      <w:r w:rsidRPr="00C14D46">
        <w:rPr>
          <w:iCs/>
          <w:strike/>
          <w:noProof/>
          <w:snapToGrid/>
        </w:rPr>
        <w:t xml:space="preserve">vehicular parking spaces </w:t>
      </w:r>
      <w:r w:rsidRPr="00C14D46">
        <w:rPr>
          <w:iCs/>
          <w:noProof/>
          <w:snapToGrid/>
        </w:rPr>
        <w:t>being added, with a minimum of one bicycle parking facility.</w:t>
      </w:r>
    </w:p>
    <w:p w14:paraId="4AAFC618" w14:textId="5B936C7C" w:rsidR="00FC0232" w:rsidRPr="00C14D46" w:rsidRDefault="00FC0232" w:rsidP="00FC0232">
      <w:pPr>
        <w:snapToGrid w:val="0"/>
        <w:spacing w:after="120"/>
        <w:ind w:left="1440"/>
        <w:rPr>
          <w:iCs/>
          <w:noProof/>
          <w:snapToGrid/>
        </w:rPr>
      </w:pPr>
      <w:r w:rsidRPr="00C14D46">
        <w:rPr>
          <w:b/>
          <w:bCs/>
          <w:iCs/>
          <w:noProof/>
          <w:snapToGrid/>
        </w:rPr>
        <w:t>5.106.4.1.</w:t>
      </w:r>
      <w:r w:rsidRPr="00C14D46">
        <w:rPr>
          <w:b/>
          <w:bCs/>
          <w:iCs/>
          <w:strike/>
          <w:noProof/>
          <w:snapToGrid/>
        </w:rPr>
        <w:t>4.</w:t>
      </w:r>
      <w:r w:rsidRPr="00C14D46">
        <w:rPr>
          <w:b/>
          <w:bCs/>
          <w:iCs/>
          <w:noProof/>
          <w:snapToGrid/>
          <w:u w:val="single"/>
        </w:rPr>
        <w:t>2.2</w:t>
      </w:r>
      <w:r w:rsidRPr="00C14D46">
        <w:rPr>
          <w:b/>
          <w:bCs/>
          <w:iCs/>
          <w:noProof/>
          <w:snapToGrid/>
        </w:rPr>
        <w:t xml:space="preserve">. </w:t>
      </w:r>
      <w:r w:rsidRPr="00C14D46">
        <w:rPr>
          <w:iCs/>
          <w:noProof/>
          <w:snapToGrid/>
        </w:rPr>
        <w:t xml:space="preserve">For new shell buildings in phased projects provide secure bicycle parking for </w:t>
      </w:r>
      <w:r w:rsidRPr="00C14D46">
        <w:rPr>
          <w:iCs/>
          <w:strike/>
          <w:noProof/>
          <w:snapToGrid/>
        </w:rPr>
        <w:t xml:space="preserve">5 </w:t>
      </w:r>
      <w:r w:rsidRPr="00C14D46">
        <w:rPr>
          <w:iCs/>
          <w:noProof/>
          <w:snapToGrid/>
          <w:u w:val="single"/>
        </w:rPr>
        <w:t xml:space="preserve">10 </w:t>
      </w:r>
      <w:r w:rsidRPr="00C14D46">
        <w:rPr>
          <w:iCs/>
          <w:noProof/>
          <w:snapToGrid/>
        </w:rPr>
        <w:t>percent of the anticipated tenant-occupant</w:t>
      </w:r>
      <w:r w:rsidRPr="00C14D46">
        <w:rPr>
          <w:iCs/>
          <w:noProof/>
          <w:snapToGrid/>
          <w:u w:val="single"/>
        </w:rPr>
        <w:t>s</w:t>
      </w:r>
      <w:r w:rsidRPr="00C14D46">
        <w:rPr>
          <w:iCs/>
          <w:strike/>
          <w:noProof/>
          <w:snapToGrid/>
        </w:rPr>
        <w:t xml:space="preserve"> vehicular parking spaces</w:t>
      </w:r>
      <w:r w:rsidRPr="00C14D46">
        <w:rPr>
          <w:iCs/>
          <w:noProof/>
          <w:snapToGrid/>
        </w:rPr>
        <w:t xml:space="preserve"> with </w:t>
      </w:r>
      <w:bookmarkStart w:id="5" w:name="_Hlk172815030"/>
      <w:r w:rsidRPr="00C14D46">
        <w:rPr>
          <w:iCs/>
          <w:noProof/>
          <w:snapToGrid/>
        </w:rPr>
        <w:t>a minimum of one bicycle parking facility</w:t>
      </w:r>
      <w:bookmarkEnd w:id="5"/>
      <w:r w:rsidRPr="00C14D46">
        <w:rPr>
          <w:iCs/>
          <w:noProof/>
          <w:snapToGrid/>
        </w:rPr>
        <w:t>.</w:t>
      </w:r>
    </w:p>
    <w:p w14:paraId="544F6B46" w14:textId="77777777" w:rsidR="00FC0232" w:rsidRPr="00C14D46" w:rsidRDefault="00FC0232" w:rsidP="00D006C5">
      <w:pPr>
        <w:snapToGrid w:val="0"/>
        <w:spacing w:after="120"/>
        <w:ind w:left="540"/>
        <w:rPr>
          <w:iCs/>
          <w:noProof/>
          <w:snapToGrid/>
        </w:rPr>
      </w:pPr>
      <w:r w:rsidRPr="00C14D46">
        <w:rPr>
          <w:iCs/>
          <w:noProof/>
          <w:snapToGrid/>
        </w:rPr>
        <w:t xml:space="preserve">[Relocated to main paragraph above] </w:t>
      </w:r>
    </w:p>
    <w:p w14:paraId="05D32D22" w14:textId="444A801F" w:rsidR="00FC0232" w:rsidRPr="00C14D46" w:rsidRDefault="00FC0232" w:rsidP="00D006C5">
      <w:pPr>
        <w:snapToGrid w:val="0"/>
        <w:spacing w:after="120"/>
        <w:ind w:left="1440"/>
        <w:rPr>
          <w:iCs/>
          <w:dstrike/>
          <w:noProof/>
          <w:snapToGrid/>
        </w:rPr>
      </w:pPr>
      <w:r w:rsidRPr="00C14D46">
        <w:rPr>
          <w:b/>
          <w:bCs/>
          <w:iCs/>
          <w:dstrike/>
          <w:noProof/>
          <w:snapToGrid/>
        </w:rPr>
        <w:t>5.106.4.1.5.</w:t>
      </w:r>
      <w:r w:rsidRPr="00C14D46">
        <w:rPr>
          <w:b/>
          <w:bCs/>
          <w:iCs/>
          <w:dstrike/>
          <w:noProof/>
          <w:snapToGrid/>
          <w:u w:val="single"/>
        </w:rPr>
        <w:t>2.3.</w:t>
      </w:r>
      <w:r w:rsidRPr="00C14D46">
        <w:rPr>
          <w:b/>
          <w:bCs/>
          <w:iCs/>
          <w:dstrike/>
          <w:noProof/>
          <w:snapToGrid/>
        </w:rPr>
        <w:t xml:space="preserve"> </w:t>
      </w:r>
      <w:r w:rsidRPr="00C14D46">
        <w:rPr>
          <w:iCs/>
          <w:dstrike/>
          <w:noProof/>
          <w:snapToGrid/>
        </w:rPr>
        <w:t xml:space="preserve">Acceptable bicycle parking facility for Sections 5.106.4.1.2, 5.106.4.1.3 </w:t>
      </w:r>
      <w:r w:rsidRPr="00C14D46">
        <w:rPr>
          <w:iCs/>
          <w:dstrike/>
          <w:noProof/>
          <w:snapToGrid/>
          <w:u w:val="single"/>
        </w:rPr>
        <w:t>2.1</w:t>
      </w:r>
      <w:r w:rsidRPr="00C14D46">
        <w:rPr>
          <w:iCs/>
          <w:dstrike/>
          <w:noProof/>
          <w:snapToGrid/>
        </w:rPr>
        <w:t xml:space="preserve"> and 5.106.4.1.4 </w:t>
      </w:r>
      <w:r w:rsidRPr="00C14D46">
        <w:rPr>
          <w:iCs/>
          <w:dstrike/>
          <w:noProof/>
          <w:snapToGrid/>
          <w:u w:val="single"/>
        </w:rPr>
        <w:t>2.2</w:t>
      </w:r>
      <w:r w:rsidRPr="00C14D46">
        <w:rPr>
          <w:iCs/>
          <w:dstrike/>
          <w:noProof/>
          <w:snapToGrid/>
        </w:rPr>
        <w:t xml:space="preserve"> shall be convenient from the street and shall meet one of the following:</w:t>
      </w:r>
    </w:p>
    <w:p w14:paraId="11771685" w14:textId="77777777" w:rsidR="00FC0232" w:rsidRPr="00C14D46" w:rsidRDefault="00FC0232" w:rsidP="00D006C5">
      <w:pPr>
        <w:snapToGrid w:val="0"/>
        <w:spacing w:after="120"/>
        <w:ind w:left="1800"/>
        <w:rPr>
          <w:iCs/>
          <w:dstrike/>
          <w:noProof/>
          <w:snapToGrid/>
        </w:rPr>
      </w:pPr>
      <w:r w:rsidRPr="00C14D46">
        <w:rPr>
          <w:iCs/>
          <w:dstrike/>
          <w:noProof/>
          <w:snapToGrid/>
        </w:rPr>
        <w:t>1. Covered, lockable enclosures with permanently anchored racks for bicycles;</w:t>
      </w:r>
    </w:p>
    <w:p w14:paraId="20A7A364" w14:textId="77777777" w:rsidR="00FC0232" w:rsidRPr="00C14D46" w:rsidRDefault="00FC0232" w:rsidP="00D006C5">
      <w:pPr>
        <w:snapToGrid w:val="0"/>
        <w:spacing w:after="120"/>
        <w:ind w:left="1800"/>
        <w:rPr>
          <w:iCs/>
          <w:dstrike/>
          <w:noProof/>
          <w:snapToGrid/>
        </w:rPr>
      </w:pPr>
      <w:r w:rsidRPr="00C14D46">
        <w:rPr>
          <w:iCs/>
          <w:dstrike/>
          <w:noProof/>
          <w:snapToGrid/>
        </w:rPr>
        <w:t>2. Lockable bicycle rooms with permanently anchored racks; or</w:t>
      </w:r>
    </w:p>
    <w:p w14:paraId="5A33FA36" w14:textId="76798365" w:rsidR="00FC0232" w:rsidRPr="00C14D46" w:rsidRDefault="00FC0232" w:rsidP="00D006C5">
      <w:pPr>
        <w:snapToGrid w:val="0"/>
        <w:spacing w:after="120"/>
        <w:ind w:left="1800"/>
        <w:rPr>
          <w:iCs/>
          <w:dstrike/>
          <w:noProof/>
          <w:snapToGrid/>
        </w:rPr>
      </w:pPr>
      <w:r w:rsidRPr="00C14D46">
        <w:rPr>
          <w:iCs/>
          <w:dstrike/>
          <w:noProof/>
          <w:snapToGrid/>
        </w:rPr>
        <w:t>3. Lockable, permanently anchored bicycle lockers.</w:t>
      </w:r>
    </w:p>
    <w:p w14:paraId="1712BD04" w14:textId="77777777" w:rsidR="00FC0232" w:rsidRPr="00C14D46" w:rsidRDefault="00FC0232" w:rsidP="00D006C5">
      <w:pPr>
        <w:snapToGrid w:val="0"/>
        <w:spacing w:after="120"/>
        <w:ind w:left="1440"/>
        <w:rPr>
          <w:iCs/>
          <w:strike/>
          <w:noProof/>
          <w:snapToGrid/>
        </w:rPr>
      </w:pPr>
      <w:r w:rsidRPr="00C14D46">
        <w:rPr>
          <w:b/>
          <w:bCs/>
          <w:iCs/>
          <w:strike/>
          <w:noProof/>
          <w:snapToGrid/>
        </w:rPr>
        <w:t xml:space="preserve">Note: </w:t>
      </w:r>
      <w:r w:rsidRPr="00C14D46">
        <w:rPr>
          <w:iCs/>
          <w:strike/>
          <w:noProof/>
          <w:snapToGrid/>
        </w:rPr>
        <w:t>Additional information on recommended bicycle accommodations may be obtained from Sacramento Area Bicycle Advocates.</w:t>
      </w:r>
    </w:p>
    <w:p w14:paraId="2D53F3D5" w14:textId="77777777" w:rsidR="00E11D01" w:rsidRDefault="002367DC" w:rsidP="007F011F">
      <w:pPr>
        <w:spacing w:after="120"/>
        <w:rPr>
          <w:rFonts w:cs="Arial"/>
          <w:szCs w:val="24"/>
        </w:rPr>
      </w:pPr>
      <w:r w:rsidRPr="0044593B">
        <w:rPr>
          <w:rFonts w:cs="Arial"/>
          <w:b/>
        </w:rPr>
        <w:t>Rationale:</w:t>
      </w:r>
      <w:r w:rsidR="002D5E4A" w:rsidRPr="0044593B">
        <w:rPr>
          <w:rFonts w:cs="Arial"/>
        </w:rPr>
        <w:t xml:space="preserve"> </w:t>
      </w:r>
      <w:r w:rsidR="007F011F">
        <w:rPr>
          <w:rFonts w:cs="Arial"/>
        </w:rPr>
        <w:br/>
      </w:r>
      <w:r w:rsidR="00C9126A" w:rsidRPr="00C9126A">
        <w:rPr>
          <w:rFonts w:cs="Arial"/>
        </w:rPr>
        <w:t>During the 45-day public comment period, BSC staff received comment</w:t>
      </w:r>
      <w:r w:rsidR="001B4A0D">
        <w:rPr>
          <w:rFonts w:cs="Arial"/>
        </w:rPr>
        <w:t>s</w:t>
      </w:r>
      <w:r w:rsidR="00C9126A" w:rsidRPr="00C9126A">
        <w:rPr>
          <w:rFonts w:cs="Arial"/>
        </w:rPr>
        <w:t xml:space="preserve"> from the California Bicycle Coalition</w:t>
      </w:r>
      <w:r w:rsidR="005A4A4F">
        <w:rPr>
          <w:rFonts w:cs="Arial"/>
        </w:rPr>
        <w:t xml:space="preserve"> with 11 signatories (and 11 individual commentors),</w:t>
      </w:r>
      <w:r w:rsidR="00C9126A" w:rsidRPr="00545780">
        <w:rPr>
          <w:rFonts w:cs="Arial"/>
          <w:szCs w:val="24"/>
        </w:rPr>
        <w:t xml:space="preserve"> based </w:t>
      </w:r>
      <w:r w:rsidR="00C9126A" w:rsidRPr="00545780">
        <w:rPr>
          <w:rFonts w:cs="Arial"/>
          <w:szCs w:val="24"/>
        </w:rPr>
        <w:lastRenderedPageBreak/>
        <w:t xml:space="preserve">on the BSC 03/24 45-Day Express Terms, Item 1, Sections 5.106.4.1.1 </w:t>
      </w:r>
      <w:bookmarkStart w:id="6" w:name="_Hlk172295967"/>
      <w:r w:rsidR="00C9126A" w:rsidRPr="00545780">
        <w:rPr>
          <w:rFonts w:cs="Arial"/>
          <w:szCs w:val="24"/>
        </w:rPr>
        <w:t>Short-term bicycle parking</w:t>
      </w:r>
      <w:bookmarkEnd w:id="6"/>
      <w:r w:rsidR="00C9126A" w:rsidRPr="00545780">
        <w:rPr>
          <w:rFonts w:cs="Arial"/>
          <w:szCs w:val="24"/>
        </w:rPr>
        <w:t xml:space="preserve"> and 5.106.4.1.2 Long-term bicycle parking. </w:t>
      </w:r>
    </w:p>
    <w:p w14:paraId="757314B5" w14:textId="77777777" w:rsidR="00E11D01" w:rsidRDefault="00C9126A" w:rsidP="007F011F">
      <w:pPr>
        <w:spacing w:after="120"/>
        <w:rPr>
          <w:color w:val="000000"/>
          <w:szCs w:val="24"/>
        </w:rPr>
      </w:pPr>
      <w:r w:rsidRPr="00545780">
        <w:rPr>
          <w:rFonts w:cs="Arial"/>
          <w:szCs w:val="24"/>
        </w:rPr>
        <w:t xml:space="preserve">The </w:t>
      </w:r>
      <w:r w:rsidR="00C9472F">
        <w:rPr>
          <w:rFonts w:cs="Arial"/>
          <w:szCs w:val="24"/>
        </w:rPr>
        <w:t>coalition</w:t>
      </w:r>
      <w:r w:rsidR="00C9472F" w:rsidRPr="00545780">
        <w:rPr>
          <w:rFonts w:cs="Arial"/>
          <w:szCs w:val="24"/>
        </w:rPr>
        <w:t xml:space="preserve"> </w:t>
      </w:r>
      <w:r w:rsidR="00C376DA" w:rsidRPr="00545780">
        <w:rPr>
          <w:rFonts w:cs="Arial"/>
          <w:szCs w:val="24"/>
        </w:rPr>
        <w:t xml:space="preserve">stated </w:t>
      </w:r>
      <w:r w:rsidR="00425D56" w:rsidRPr="00545780">
        <w:rPr>
          <w:rFonts w:cs="Arial"/>
          <w:szCs w:val="24"/>
        </w:rPr>
        <w:t>“</w:t>
      </w:r>
      <w:r w:rsidR="00425D56" w:rsidRPr="00E11D01">
        <w:rPr>
          <w:color w:val="000000"/>
          <w:szCs w:val="24"/>
        </w:rPr>
        <w:t>It is unclear what data building occupants must provide to show how many foot traffic visitors there have been before and will be after an alteration… Thus</w:t>
      </w:r>
      <w:r w:rsidR="00D84DDA">
        <w:rPr>
          <w:color w:val="000000"/>
          <w:szCs w:val="24"/>
        </w:rPr>
        <w:t>,</w:t>
      </w:r>
      <w:r w:rsidR="00425D56" w:rsidRPr="00E11D01">
        <w:rPr>
          <w:color w:val="000000"/>
          <w:szCs w:val="24"/>
        </w:rPr>
        <w:t xml:space="preserve"> it seems that the exception is not well defined, and setting a limit of nine added foot traffic visitors seems vague and indeterminate. </w:t>
      </w:r>
    </w:p>
    <w:p w14:paraId="48B3648D" w14:textId="765E77B4" w:rsidR="00C9126A" w:rsidRPr="00545780" w:rsidRDefault="00C9126A" w:rsidP="007F011F">
      <w:pPr>
        <w:spacing w:after="120"/>
        <w:rPr>
          <w:rFonts w:cs="Arial"/>
          <w:szCs w:val="24"/>
        </w:rPr>
      </w:pPr>
      <w:r w:rsidRPr="00545780">
        <w:rPr>
          <w:rFonts w:cs="Arial"/>
          <w:szCs w:val="24"/>
        </w:rPr>
        <w:t xml:space="preserve">Upon review of </w:t>
      </w:r>
      <w:r w:rsidR="00570DC7">
        <w:rPr>
          <w:rFonts w:cs="Arial"/>
          <w:szCs w:val="24"/>
        </w:rPr>
        <w:t>these</w:t>
      </w:r>
      <w:r w:rsidRPr="00545780">
        <w:rPr>
          <w:rFonts w:cs="Arial"/>
          <w:szCs w:val="24"/>
        </w:rPr>
        <w:t xml:space="preserve"> 45-day public comment</w:t>
      </w:r>
      <w:r w:rsidR="00150039">
        <w:rPr>
          <w:rFonts w:cs="Arial"/>
          <w:szCs w:val="24"/>
        </w:rPr>
        <w:t xml:space="preserve">s and </w:t>
      </w:r>
      <w:r w:rsidR="00545780" w:rsidRPr="00545780">
        <w:rPr>
          <w:rFonts w:cs="Arial"/>
          <w:szCs w:val="24"/>
        </w:rPr>
        <w:t xml:space="preserve">after </w:t>
      </w:r>
      <w:r w:rsidRPr="00545780">
        <w:rPr>
          <w:rFonts w:cs="Arial"/>
          <w:szCs w:val="24"/>
        </w:rPr>
        <w:t xml:space="preserve">BSC staff </w:t>
      </w:r>
      <w:r w:rsidR="00545780" w:rsidRPr="00545780">
        <w:rPr>
          <w:rFonts w:cs="Arial"/>
          <w:szCs w:val="24"/>
        </w:rPr>
        <w:t xml:space="preserve">analyzed the required minimum number of parking facilities </w:t>
      </w:r>
      <w:r w:rsidR="00150039">
        <w:rPr>
          <w:rFonts w:cs="Arial"/>
          <w:szCs w:val="24"/>
        </w:rPr>
        <w:t>(</w:t>
      </w:r>
      <w:r w:rsidR="00E1728F">
        <w:rPr>
          <w:rFonts w:cs="Arial"/>
          <w:szCs w:val="24"/>
        </w:rPr>
        <w:t xml:space="preserve">minimum of </w:t>
      </w:r>
      <w:r w:rsidR="00545780" w:rsidRPr="00545780">
        <w:rPr>
          <w:rFonts w:cs="Arial"/>
          <w:szCs w:val="24"/>
        </w:rPr>
        <w:t>1</w:t>
      </w:r>
      <w:r w:rsidR="00E1728F">
        <w:rPr>
          <w:rFonts w:cs="Arial"/>
          <w:szCs w:val="24"/>
        </w:rPr>
        <w:t xml:space="preserve"> </w:t>
      </w:r>
      <w:r w:rsidR="00545780" w:rsidRPr="00545780">
        <w:rPr>
          <w:rFonts w:cs="Arial"/>
          <w:szCs w:val="24"/>
        </w:rPr>
        <w:t>two</w:t>
      </w:r>
      <w:r w:rsidR="00E1728F">
        <w:rPr>
          <w:rFonts w:cs="Arial"/>
          <w:szCs w:val="24"/>
        </w:rPr>
        <w:t>-</w:t>
      </w:r>
      <w:r w:rsidR="00545780" w:rsidRPr="00545780">
        <w:rPr>
          <w:rFonts w:cs="Arial"/>
          <w:szCs w:val="24"/>
        </w:rPr>
        <w:t>bi</w:t>
      </w:r>
      <w:r w:rsidR="00150039">
        <w:rPr>
          <w:rFonts w:cs="Arial"/>
          <w:szCs w:val="24"/>
        </w:rPr>
        <w:t xml:space="preserve">ke rack for short-term and </w:t>
      </w:r>
      <w:r w:rsidR="00150039" w:rsidRPr="00C14D46">
        <w:rPr>
          <w:iCs/>
          <w:noProof/>
          <w:snapToGrid/>
        </w:rPr>
        <w:t>a minimum of one bicycle parking facility</w:t>
      </w:r>
      <w:r w:rsidR="00150039" w:rsidRPr="00545780">
        <w:rPr>
          <w:rFonts w:cs="Arial"/>
          <w:szCs w:val="24"/>
        </w:rPr>
        <w:t xml:space="preserve"> </w:t>
      </w:r>
      <w:r w:rsidR="00150039">
        <w:rPr>
          <w:rFonts w:cs="Arial"/>
          <w:szCs w:val="24"/>
        </w:rPr>
        <w:t>for long-term) repealing the exceptions wi</w:t>
      </w:r>
      <w:r w:rsidR="00E1728F">
        <w:rPr>
          <w:rFonts w:cs="Arial"/>
          <w:szCs w:val="24"/>
        </w:rPr>
        <w:t xml:space="preserve">ll </w:t>
      </w:r>
      <w:r w:rsidR="00150039">
        <w:rPr>
          <w:rFonts w:cs="Arial"/>
          <w:szCs w:val="24"/>
        </w:rPr>
        <w:t xml:space="preserve">not change the required code minimums. </w:t>
      </w:r>
      <w:r w:rsidR="00E1728F">
        <w:rPr>
          <w:rFonts w:cs="Arial"/>
          <w:szCs w:val="24"/>
        </w:rPr>
        <w:t xml:space="preserve">The exceptions are </w:t>
      </w:r>
      <w:r w:rsidR="0072456B">
        <w:rPr>
          <w:rFonts w:cs="Arial"/>
          <w:szCs w:val="24"/>
        </w:rPr>
        <w:t xml:space="preserve">not </w:t>
      </w:r>
      <w:r w:rsidR="00E1728F">
        <w:rPr>
          <w:rFonts w:cs="Arial"/>
          <w:szCs w:val="24"/>
        </w:rPr>
        <w:t>needed because t</w:t>
      </w:r>
      <w:r w:rsidR="00150039">
        <w:rPr>
          <w:rFonts w:cs="Arial"/>
          <w:szCs w:val="24"/>
        </w:rPr>
        <w:t xml:space="preserve">o </w:t>
      </w:r>
      <w:r w:rsidR="00C55B9A">
        <w:rPr>
          <w:rFonts w:cs="Arial"/>
          <w:szCs w:val="24"/>
        </w:rPr>
        <w:t xml:space="preserve">trigger additional parking bike racks or parking facilities </w:t>
      </w:r>
      <w:r w:rsidR="00E1728F">
        <w:rPr>
          <w:rFonts w:cs="Arial"/>
          <w:szCs w:val="24"/>
        </w:rPr>
        <w:t>would require</w:t>
      </w:r>
      <w:r w:rsidR="00BC1BF8">
        <w:rPr>
          <w:rFonts w:cs="Arial"/>
          <w:szCs w:val="24"/>
        </w:rPr>
        <w:t xml:space="preserve"> </w:t>
      </w:r>
      <w:r w:rsidR="00150039">
        <w:rPr>
          <w:rFonts w:cs="Arial"/>
          <w:szCs w:val="24"/>
        </w:rPr>
        <w:t>10 or more visitors or tenant-</w:t>
      </w:r>
      <w:r w:rsidR="00BC1BF8">
        <w:rPr>
          <w:rFonts w:cs="Arial"/>
          <w:szCs w:val="24"/>
        </w:rPr>
        <w:t>occupants</w:t>
      </w:r>
      <w:r w:rsidR="00BD6771">
        <w:rPr>
          <w:rFonts w:cs="Arial"/>
          <w:szCs w:val="24"/>
        </w:rPr>
        <w:t>,</w:t>
      </w:r>
      <w:r w:rsidR="00BC1BF8">
        <w:rPr>
          <w:rFonts w:cs="Arial"/>
          <w:szCs w:val="24"/>
        </w:rPr>
        <w:t xml:space="preserve"> which</w:t>
      </w:r>
      <w:r w:rsidR="00E1728F">
        <w:rPr>
          <w:rFonts w:cs="Arial"/>
          <w:szCs w:val="24"/>
        </w:rPr>
        <w:t xml:space="preserve"> is the </w:t>
      </w:r>
      <w:r w:rsidR="00BD6771">
        <w:rPr>
          <w:rFonts w:cs="Arial"/>
          <w:szCs w:val="24"/>
        </w:rPr>
        <w:t xml:space="preserve">current </w:t>
      </w:r>
      <w:r w:rsidR="00E1728F">
        <w:rPr>
          <w:rFonts w:cs="Arial"/>
          <w:szCs w:val="24"/>
        </w:rPr>
        <w:t xml:space="preserve">baseline. </w:t>
      </w:r>
      <w:r w:rsidR="00CC243B">
        <w:rPr>
          <w:rFonts w:cs="Arial"/>
          <w:szCs w:val="24"/>
        </w:rPr>
        <w:t xml:space="preserve">BSC also agrees </w:t>
      </w:r>
      <w:r w:rsidRPr="00545780">
        <w:rPr>
          <w:rFonts w:cs="Arial"/>
          <w:szCs w:val="24"/>
        </w:rPr>
        <w:t xml:space="preserve">with the </w:t>
      </w:r>
      <w:r w:rsidR="00C376DA" w:rsidRPr="00545780">
        <w:rPr>
          <w:rFonts w:cs="Arial"/>
          <w:szCs w:val="24"/>
        </w:rPr>
        <w:t xml:space="preserve">commentors </w:t>
      </w:r>
      <w:r w:rsidRPr="00545780">
        <w:rPr>
          <w:rFonts w:cs="Arial"/>
          <w:szCs w:val="24"/>
        </w:rPr>
        <w:t>and proposes the following changes.</w:t>
      </w:r>
    </w:p>
    <w:p w14:paraId="25255D73" w14:textId="77777777" w:rsidR="00C9126A" w:rsidRPr="00C9126A" w:rsidRDefault="00C9126A" w:rsidP="007F011F">
      <w:pPr>
        <w:spacing w:after="120"/>
        <w:rPr>
          <w:rFonts w:cs="Arial"/>
        </w:rPr>
      </w:pPr>
      <w:r w:rsidRPr="00C9126A">
        <w:rPr>
          <w:rFonts w:cs="Arial"/>
          <w:b/>
          <w:bCs/>
        </w:rPr>
        <w:t>ITEM 1-1:</w:t>
      </w:r>
      <w:r w:rsidRPr="00C9126A">
        <w:rPr>
          <w:rFonts w:cs="Arial"/>
        </w:rPr>
        <w:t xml:space="preserve"> Repeal the exception in Section 5.106.4.1.1 that exempts additions or alterations that add 9 or less visitors.</w:t>
      </w:r>
    </w:p>
    <w:p w14:paraId="257ED1A8" w14:textId="77777777" w:rsidR="00C9126A" w:rsidRPr="00C9126A" w:rsidRDefault="00C9126A" w:rsidP="007F011F">
      <w:pPr>
        <w:snapToGrid w:val="0"/>
        <w:spacing w:after="120"/>
        <w:rPr>
          <w:snapToGrid/>
        </w:rPr>
      </w:pPr>
      <w:r w:rsidRPr="00C9126A">
        <w:rPr>
          <w:rFonts w:cs="Arial"/>
          <w:b/>
          <w:bCs/>
        </w:rPr>
        <w:t>ITEM 1-2:</w:t>
      </w:r>
      <w:r w:rsidRPr="00C9126A">
        <w:rPr>
          <w:rFonts w:cs="Arial"/>
        </w:rPr>
        <w:t xml:space="preserve"> </w:t>
      </w:r>
      <w:r w:rsidRPr="00C9126A">
        <w:rPr>
          <w:snapToGrid/>
        </w:rPr>
        <w:t xml:space="preserve">Amend Sections 5.106.4.1.2 and 5.106.4.1.2.1 to repeal the verbiage that states “… that have 10 or more tenant-occupants. “ </w:t>
      </w:r>
    </w:p>
    <w:p w14:paraId="0D3DDB72" w14:textId="21231E6B" w:rsidR="00C9126A" w:rsidRPr="00C9126A" w:rsidRDefault="00C9126A" w:rsidP="007F011F">
      <w:pPr>
        <w:snapToGrid w:val="0"/>
        <w:spacing w:after="120"/>
        <w:rPr>
          <w:snapToGrid/>
        </w:rPr>
      </w:pPr>
      <w:r w:rsidRPr="00C9126A">
        <w:rPr>
          <w:snapToGrid/>
        </w:rPr>
        <w:t>The proposed 15-day code language for both short</w:t>
      </w:r>
      <w:r w:rsidR="00570DC7">
        <w:rPr>
          <w:snapToGrid/>
        </w:rPr>
        <w:t>-</w:t>
      </w:r>
      <w:r w:rsidRPr="00C9126A">
        <w:rPr>
          <w:snapToGrid/>
        </w:rPr>
        <w:t xml:space="preserve"> and long-term bicycle parking will clarify the application</w:t>
      </w:r>
      <w:r w:rsidR="009057EB">
        <w:rPr>
          <w:snapToGrid/>
        </w:rPr>
        <w:t xml:space="preserve"> </w:t>
      </w:r>
      <w:r w:rsidRPr="00C9126A">
        <w:rPr>
          <w:snapToGrid/>
        </w:rPr>
        <w:t xml:space="preserve">and triggers for </w:t>
      </w:r>
      <w:r w:rsidR="00C376DA">
        <w:rPr>
          <w:snapToGrid/>
        </w:rPr>
        <w:t xml:space="preserve">the </w:t>
      </w:r>
      <w:r w:rsidRPr="00C9126A">
        <w:rPr>
          <w:snapToGrid/>
        </w:rPr>
        <w:t xml:space="preserve">required </w:t>
      </w:r>
      <w:r w:rsidR="00C376DA">
        <w:rPr>
          <w:snapToGrid/>
        </w:rPr>
        <w:t xml:space="preserve">number of </w:t>
      </w:r>
      <w:r w:rsidRPr="00C9126A">
        <w:rPr>
          <w:snapToGrid/>
        </w:rPr>
        <w:t xml:space="preserve">bicycle parking </w:t>
      </w:r>
      <w:r w:rsidR="00C376DA">
        <w:rPr>
          <w:snapToGrid/>
        </w:rPr>
        <w:t xml:space="preserve">facilities </w:t>
      </w:r>
      <w:r w:rsidRPr="00C9126A">
        <w:rPr>
          <w:snapToGrid/>
        </w:rPr>
        <w:t>in nonresidential occupancies, removes ambiguity and promotes the installation of additional bicycle parking.</w:t>
      </w:r>
    </w:p>
    <w:p w14:paraId="19186DD9" w14:textId="1445B072" w:rsidR="00C9126A" w:rsidRPr="00C9126A" w:rsidRDefault="00C9126A" w:rsidP="007F011F">
      <w:pPr>
        <w:snapToGrid w:val="0"/>
        <w:spacing w:after="120"/>
        <w:rPr>
          <w:snapToGrid/>
        </w:rPr>
      </w:pPr>
      <w:r w:rsidRPr="00C9126A">
        <w:rPr>
          <w:snapToGrid/>
        </w:rPr>
        <w:t xml:space="preserve">BSC acknowledges the California Bicycle Coalition additional recommendations </w:t>
      </w:r>
      <w:r w:rsidR="001B4A0D">
        <w:rPr>
          <w:snapToGrid/>
        </w:rPr>
        <w:t xml:space="preserve">and other individuals </w:t>
      </w:r>
      <w:r w:rsidRPr="00C9126A">
        <w:rPr>
          <w:snapToGrid/>
        </w:rPr>
        <w:t>to accommodate larger or longer bikes, and to add new definitions that align with HCD</w:t>
      </w:r>
      <w:r w:rsidR="00570DC7">
        <w:rPr>
          <w:snapToGrid/>
        </w:rPr>
        <w:t>’</w:t>
      </w:r>
      <w:r w:rsidRPr="00C9126A">
        <w:rPr>
          <w:snapToGrid/>
        </w:rPr>
        <w:t>s bicycle proposals along with additional recommendations for mobility devices. Upon further review, BSC has determined to address these recommendations in future code adoption cycles.</w:t>
      </w:r>
    </w:p>
    <w:p w14:paraId="593AD19B" w14:textId="77777777" w:rsidR="00C9126A" w:rsidRPr="00C9126A" w:rsidRDefault="00C9126A" w:rsidP="007F011F">
      <w:pPr>
        <w:snapToGrid w:val="0"/>
        <w:spacing w:after="120"/>
        <w:rPr>
          <w:snapToGrid/>
        </w:rPr>
      </w:pPr>
      <w:r w:rsidRPr="00C9126A">
        <w:rPr>
          <w:snapToGrid/>
        </w:rPr>
        <w:t xml:space="preserve">Additionally, BSC is proposing to relocate the existing code language from Section 5.106.4.1.2.3 to the main paragraph in Section 5.106.4.1.2 and repeal the section number. These amendments are meant to simplify the code requirements by providing the code compliance options in the main paragraph. </w:t>
      </w:r>
    </w:p>
    <w:p w14:paraId="408814DB" w14:textId="77777777" w:rsidR="00C9126A" w:rsidRPr="00C9126A" w:rsidRDefault="00C9126A" w:rsidP="007F011F">
      <w:pPr>
        <w:snapToGrid w:val="0"/>
        <w:spacing w:after="120"/>
        <w:rPr>
          <w:snapToGrid/>
        </w:rPr>
      </w:pPr>
      <w:r w:rsidRPr="00C9126A">
        <w:rPr>
          <w:snapToGrid/>
        </w:rPr>
        <w:t xml:space="preserve">Lastly, BSC is proposing to add the following verbiage “Calculations for bicycle parking requirements shall be rounded up to the nearest whole number.” This code addition is meant to ensure that the proper calculation method is used by requiring the rounding up to the nearest whole number. </w:t>
      </w:r>
    </w:p>
    <w:p w14:paraId="63A3FF48" w14:textId="33B9EF4A" w:rsidR="00767766" w:rsidRPr="0044593B" w:rsidRDefault="00767766" w:rsidP="008E206B">
      <w:pPr>
        <w:pStyle w:val="Heading4"/>
      </w:pPr>
      <w:r w:rsidRPr="0044593B">
        <w:t>Notation:</w:t>
      </w:r>
    </w:p>
    <w:p w14:paraId="25855F16" w14:textId="7C3DC796" w:rsidR="00767766" w:rsidRPr="0044593B" w:rsidRDefault="00767766" w:rsidP="00767766">
      <w:pPr>
        <w:spacing w:before="120"/>
        <w:rPr>
          <w:rFonts w:cs="Arial"/>
        </w:rPr>
      </w:pPr>
      <w:r w:rsidRPr="0044593B">
        <w:rPr>
          <w:rFonts w:cs="Arial"/>
        </w:rPr>
        <w:t xml:space="preserve">Authority: </w:t>
      </w:r>
      <w:r w:rsidR="00C9126A" w:rsidRPr="007F22AD">
        <w:rPr>
          <w:rFonts w:cs="Arial"/>
        </w:rPr>
        <w:t>Health and Safety Code Sections 18930.5 and 18944.19</w:t>
      </w:r>
    </w:p>
    <w:p w14:paraId="089D9CC5" w14:textId="0DB9DA43" w:rsidR="00767766" w:rsidRPr="0044593B" w:rsidRDefault="00767766" w:rsidP="00C9126A">
      <w:pPr>
        <w:spacing w:before="120" w:after="120"/>
        <w:rPr>
          <w:rFonts w:cs="Arial"/>
          <w:noProof/>
        </w:rPr>
      </w:pPr>
      <w:r w:rsidRPr="0044593B">
        <w:rPr>
          <w:rFonts w:cs="Arial"/>
        </w:rPr>
        <w:t xml:space="preserve">Reference(s): </w:t>
      </w:r>
      <w:r w:rsidR="00C9126A" w:rsidRPr="007F22AD">
        <w:t>Health and Safety Code Sections 18930.5 and 18944.19</w:t>
      </w:r>
    </w:p>
    <w:bookmarkEnd w:id="2"/>
    <w:p w14:paraId="6737B6EA" w14:textId="6E319900" w:rsidR="00026382" w:rsidRDefault="00026382">
      <w:pPr>
        <w:widowControl/>
        <w:rPr>
          <w:rFonts w:eastAsiaTheme="majorEastAsia" w:cstheme="majorBidi"/>
          <w:b/>
          <w:szCs w:val="24"/>
        </w:rPr>
      </w:pPr>
      <w:r>
        <w:rPr>
          <w:rFonts w:eastAsiaTheme="majorEastAsia" w:cstheme="majorBidi"/>
          <w:b/>
          <w:szCs w:val="24"/>
        </w:rPr>
        <w:br w:type="page"/>
      </w:r>
    </w:p>
    <w:p w14:paraId="67D3E906" w14:textId="143F9B5B" w:rsidR="009919D6" w:rsidRPr="0044593B" w:rsidRDefault="009919D6" w:rsidP="00C9126A">
      <w:pPr>
        <w:pStyle w:val="Heading3"/>
        <w:rPr>
          <w:noProof/>
        </w:rPr>
      </w:pPr>
      <w:r w:rsidRPr="0044593B">
        <w:lastRenderedPageBreak/>
        <w:t xml:space="preserve">ITEM </w:t>
      </w:r>
      <w:r w:rsidR="00723473">
        <w:rPr>
          <w:noProof/>
        </w:rPr>
        <w:t>3</w:t>
      </w:r>
      <w:r w:rsidRPr="0044593B">
        <w:rPr>
          <w:snapToGrid/>
        </w:rPr>
        <w:br/>
      </w:r>
      <w:r w:rsidRPr="0044593B">
        <w:t xml:space="preserve">Chapter </w:t>
      </w:r>
      <w:r w:rsidR="00723473" w:rsidRPr="007F22AD">
        <w:rPr>
          <w:color w:val="000000" w:themeColor="text1"/>
        </w:rPr>
        <w:t>5 NONRESIDENTIAL MANDATORY MEASURES</w:t>
      </w:r>
      <w:r w:rsidR="00723473" w:rsidRPr="0044593B">
        <w:rPr>
          <w:noProof/>
        </w:rPr>
        <w:t>,</w:t>
      </w:r>
      <w:r w:rsidR="00723473">
        <w:rPr>
          <w:noProof/>
        </w:rPr>
        <w:br/>
      </w:r>
      <w:r w:rsidR="00723473" w:rsidRPr="007F22AD">
        <w:rPr>
          <w:i/>
          <w:iCs/>
          <w:color w:val="000000" w:themeColor="text1"/>
        </w:rPr>
        <w:t>DIVISION 5.1 – PLANNING AND DESIGN</w:t>
      </w:r>
      <w:r w:rsidR="00723473">
        <w:br/>
      </w:r>
      <w:r w:rsidR="00723473" w:rsidRPr="007F22AD">
        <w:rPr>
          <w:color w:val="000000" w:themeColor="text1"/>
        </w:rPr>
        <w:t>SECTION 5.106 SITE PLANNING</w:t>
      </w:r>
      <w:r w:rsidR="00723473">
        <w:br/>
      </w:r>
      <w:r w:rsidR="00723473" w:rsidRPr="008F4BDD">
        <w:rPr>
          <w:color w:val="000000" w:themeColor="text1"/>
        </w:rPr>
        <w:t>Table 5.106.5.3.1 EV Capable spaces</w:t>
      </w:r>
    </w:p>
    <w:p w14:paraId="5CEFD863" w14:textId="2E0E0E7B" w:rsidR="00723473" w:rsidRPr="00723473" w:rsidRDefault="00723473" w:rsidP="008E206B">
      <w:pPr>
        <w:pStyle w:val="Heading4"/>
        <w:rPr>
          <w:snapToGrid/>
        </w:rPr>
      </w:pPr>
      <w:r w:rsidRPr="00723473">
        <w:rPr>
          <w:snapToGrid/>
        </w:rPr>
        <w:t>ITEM 3-1</w:t>
      </w:r>
    </w:p>
    <w:p w14:paraId="784D3BA9" w14:textId="77777777" w:rsidR="00723473" w:rsidRPr="00723473" w:rsidRDefault="00723473" w:rsidP="00723473">
      <w:pPr>
        <w:snapToGrid w:val="0"/>
        <w:spacing w:after="120"/>
        <w:jc w:val="center"/>
        <w:rPr>
          <w:b/>
          <w:bCs/>
          <w:snapToGrid/>
          <w:u w:val="single"/>
        </w:rPr>
      </w:pPr>
      <w:r w:rsidRPr="00723473">
        <w:rPr>
          <w:b/>
          <w:bCs/>
          <w:snapToGrid/>
        </w:rPr>
        <w:t>TABLE 5.106.5.3.1</w:t>
      </w:r>
      <w:r w:rsidRPr="00723473">
        <w:rPr>
          <w:b/>
          <w:bCs/>
          <w:snapToGrid/>
        </w:rPr>
        <w:br/>
      </w:r>
      <w:r w:rsidRPr="00723473">
        <w:rPr>
          <w:b/>
          <w:bCs/>
          <w:snapToGrid/>
          <w:u w:val="single"/>
        </w:rPr>
        <w:t>EV Capable spaces and EVCS</w:t>
      </w:r>
    </w:p>
    <w:p w14:paraId="45F6A79F" w14:textId="77777777" w:rsidR="00723473" w:rsidRDefault="00723473" w:rsidP="00723473">
      <w:pPr>
        <w:snapToGrid w:val="0"/>
        <w:spacing w:after="120"/>
      </w:pPr>
      <w:r w:rsidRPr="00723473">
        <w:t>[15-day changes proposed in column 1 only]</w:t>
      </w:r>
    </w:p>
    <w:p w14:paraId="77E2D635" w14:textId="16CC8856" w:rsidR="007A7932" w:rsidRDefault="007A7932" w:rsidP="00723473">
      <w:pPr>
        <w:snapToGrid w:val="0"/>
        <w:spacing w:after="120"/>
      </w:pPr>
      <w:r>
        <w:rPr>
          <w:noProof/>
          <w:snapToGrid/>
        </w:rPr>
        <w:drawing>
          <wp:inline distT="0" distB="0" distL="0" distR="0" wp14:anchorId="3F970337" wp14:editId="6E5E88AF">
            <wp:extent cx="1311965" cy="976619"/>
            <wp:effectExtent l="0" t="0" r="2540" b="0"/>
            <wp:docPr id="1778479041" name="Picture 3" descr="Total actual parking spaces values change  from 0 to 9 spaces, to 1 to 9 spaces.&#10;parenthetical notes &#10;0 [begin double underline] 1 [end double underline] das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79041" name="Picture 3" descr="Total actual parking spaces values change  from 0 to 9 spaces, to 1 to 9 spaces.&#10;parenthetical notes &#10;0 [begin double underline] 1 [end double underline] dash 9"/>
                    <pic:cNvPicPr/>
                  </pic:nvPicPr>
                  <pic:blipFill>
                    <a:blip r:embed="rId8">
                      <a:extLst>
                        <a:ext uri="{28A0092B-C50C-407E-A947-70E740481C1C}">
                          <a14:useLocalDpi xmlns:a14="http://schemas.microsoft.com/office/drawing/2010/main" val="0"/>
                        </a:ext>
                      </a:extLst>
                    </a:blip>
                    <a:stretch>
                      <a:fillRect/>
                    </a:stretch>
                  </pic:blipFill>
                  <pic:spPr>
                    <a:xfrm>
                      <a:off x="0" y="0"/>
                      <a:ext cx="1345489" cy="1001574"/>
                    </a:xfrm>
                    <a:prstGeom prst="rect">
                      <a:avLst/>
                    </a:prstGeom>
                  </pic:spPr>
                </pic:pic>
              </a:graphicData>
            </a:graphic>
          </wp:inline>
        </w:drawing>
      </w:r>
    </w:p>
    <w:p w14:paraId="2D8739B3" w14:textId="77777777" w:rsidR="00723473" w:rsidRPr="007B0774" w:rsidRDefault="00723473" w:rsidP="00F23DAE">
      <w:pPr>
        <w:spacing w:before="120"/>
        <w:rPr>
          <w:rFonts w:eastAsiaTheme="majorEastAsia"/>
          <w:b/>
          <w:bCs/>
        </w:rPr>
      </w:pPr>
      <w:bookmarkStart w:id="7" w:name="_Hlk170732767"/>
      <w:r w:rsidRPr="007B0774">
        <w:rPr>
          <w:rFonts w:eastAsiaTheme="majorEastAsia"/>
          <w:b/>
          <w:bCs/>
        </w:rPr>
        <w:t xml:space="preserve">Rationale: </w:t>
      </w:r>
    </w:p>
    <w:p w14:paraId="37BD647D" w14:textId="6E5EC046" w:rsidR="00723473" w:rsidRPr="00723473" w:rsidRDefault="00723473" w:rsidP="00723473">
      <w:pPr>
        <w:spacing w:after="120"/>
        <w:rPr>
          <w:rFonts w:cs="Arial"/>
        </w:rPr>
      </w:pPr>
      <w:bookmarkStart w:id="8" w:name="_Hlk170733415"/>
      <w:r w:rsidRPr="00723473">
        <w:rPr>
          <w:rFonts w:cs="Arial"/>
        </w:rPr>
        <w:t>During the 45-day public comment period, BSC staff received a comment from the EV Charging for All Coalition (EVCAC) (with 10 signatories) based on the BSC 03/24 45</w:t>
      </w:r>
      <w:r w:rsidR="00570DC7">
        <w:rPr>
          <w:rFonts w:cs="Arial"/>
        </w:rPr>
        <w:t>-</w:t>
      </w:r>
      <w:r w:rsidRPr="00723473">
        <w:rPr>
          <w:rFonts w:cs="Arial"/>
        </w:rPr>
        <w:t xml:space="preserve">Day Express Terms, Item 3, Table 5.106.5.3.1 EV capable spaces and EVCS. The commenter noted that in “the first row of Table 5.106.5.3.1, the range should be 1 to 9 spaces for the first category because there are no parking lots with zero spaces.” </w:t>
      </w:r>
      <w:bookmarkEnd w:id="8"/>
    </w:p>
    <w:p w14:paraId="77C4EECA" w14:textId="77777777" w:rsidR="00723473" w:rsidRPr="00723473" w:rsidRDefault="00723473" w:rsidP="00723473">
      <w:pPr>
        <w:spacing w:after="120"/>
        <w:rPr>
          <w:rFonts w:cs="Arial"/>
        </w:rPr>
      </w:pPr>
      <w:r w:rsidRPr="00723473">
        <w:rPr>
          <w:rFonts w:cs="Arial"/>
        </w:rPr>
        <w:t>In addition to Item 3, Table 5.106.5.3.1 listed above, the discrepancy also occurs in the following Express Terms Items with tables:</w:t>
      </w:r>
    </w:p>
    <w:p w14:paraId="5909C45A" w14:textId="77777777" w:rsidR="00723473" w:rsidRPr="00723473" w:rsidRDefault="00723473" w:rsidP="00723473">
      <w:pPr>
        <w:spacing w:after="120"/>
        <w:ind w:left="720"/>
        <w:rPr>
          <w:rFonts w:cs="Arial"/>
        </w:rPr>
      </w:pPr>
      <w:r w:rsidRPr="00723473">
        <w:rPr>
          <w:rFonts w:cs="Arial"/>
        </w:rPr>
        <w:t>ITEM 5-1: TABLE 5.106.5.3.6, EVCS–Power allocation method</w:t>
      </w:r>
    </w:p>
    <w:p w14:paraId="66BE8C08" w14:textId="77777777" w:rsidR="00723473" w:rsidRPr="00723473" w:rsidRDefault="00723473" w:rsidP="00723473">
      <w:pPr>
        <w:spacing w:after="120"/>
        <w:ind w:left="720"/>
        <w:rPr>
          <w:rFonts w:cs="Arial"/>
        </w:rPr>
      </w:pPr>
      <w:r w:rsidRPr="00723473">
        <w:rPr>
          <w:rFonts w:cs="Arial"/>
        </w:rPr>
        <w:t xml:space="preserve">ITEM 12-1: TABLE A5.106.5.3.1, Tier 1 EV capable spaces and EVCS </w:t>
      </w:r>
    </w:p>
    <w:p w14:paraId="370EF8DB" w14:textId="77777777" w:rsidR="00723473" w:rsidRPr="00723473" w:rsidRDefault="00723473" w:rsidP="00723473">
      <w:pPr>
        <w:spacing w:after="120"/>
        <w:ind w:left="720"/>
        <w:rPr>
          <w:rFonts w:cs="Arial"/>
        </w:rPr>
      </w:pPr>
      <w:r w:rsidRPr="00723473">
        <w:rPr>
          <w:rFonts w:cs="Arial"/>
        </w:rPr>
        <w:t>ITEM 12-2: TABLE A5.106.5.3.2, Tier 1 EVCS–Power allocation method</w:t>
      </w:r>
    </w:p>
    <w:p w14:paraId="546DBD41" w14:textId="77777777" w:rsidR="00723473" w:rsidRPr="00723473" w:rsidRDefault="00723473" w:rsidP="00723473">
      <w:pPr>
        <w:spacing w:after="120"/>
        <w:ind w:left="720"/>
        <w:rPr>
          <w:rFonts w:cs="Arial"/>
        </w:rPr>
      </w:pPr>
      <w:r w:rsidRPr="00723473">
        <w:rPr>
          <w:rFonts w:cs="Arial"/>
        </w:rPr>
        <w:t>ITEM 13-1: TABLE A5.106.5.3.3, Tier 2 EV capable spaces and EVCS</w:t>
      </w:r>
    </w:p>
    <w:p w14:paraId="11023C56" w14:textId="77777777" w:rsidR="00723473" w:rsidRPr="00723473" w:rsidRDefault="00723473" w:rsidP="00723473">
      <w:pPr>
        <w:spacing w:after="120"/>
        <w:ind w:left="720"/>
        <w:rPr>
          <w:rFonts w:cs="Arial"/>
        </w:rPr>
      </w:pPr>
      <w:r w:rsidRPr="00723473">
        <w:rPr>
          <w:rFonts w:cs="Arial"/>
        </w:rPr>
        <w:t>ITEM 13-2: TABLE A5.106.5.3.4, Tier 2 EVCS–Power allocation method</w:t>
      </w:r>
      <w:bookmarkStart w:id="9" w:name="_Hlk170734250"/>
    </w:p>
    <w:p w14:paraId="1DD15AEE" w14:textId="77777777" w:rsidR="00723473" w:rsidRPr="00723473" w:rsidRDefault="00723473" w:rsidP="00723473">
      <w:pPr>
        <w:spacing w:after="120"/>
        <w:rPr>
          <w:rFonts w:cs="Arial"/>
        </w:rPr>
      </w:pPr>
      <w:r w:rsidRPr="00723473">
        <w:rPr>
          <w:rFonts w:cs="Arial"/>
        </w:rPr>
        <w:t>BSC agrees with the commenter and proposes to provide an editorial correction to the values in column one “total number of actual parking spaces” for each of the tables listed above and individually show below.</w:t>
      </w:r>
    </w:p>
    <w:p w14:paraId="039A0BF8" w14:textId="77777777" w:rsidR="00723473" w:rsidRPr="00723473" w:rsidRDefault="00723473" w:rsidP="00723473">
      <w:pPr>
        <w:snapToGrid w:val="0"/>
        <w:spacing w:after="120"/>
        <w:rPr>
          <w:snapToGrid/>
        </w:rPr>
      </w:pPr>
      <w:r w:rsidRPr="00723473">
        <w:rPr>
          <w:snapToGrid/>
        </w:rPr>
        <w:t>This proposed editorial amendment clarifies the applicability of the intended parking space ranges that trigger the EV parking requirements. This correction removes ambiguity from the parking space tables.</w:t>
      </w:r>
    </w:p>
    <w:p w14:paraId="47C9E2B7" w14:textId="77777777" w:rsidR="00723473" w:rsidRPr="00723473" w:rsidRDefault="00723473" w:rsidP="008E206B">
      <w:pPr>
        <w:pStyle w:val="Heading4"/>
        <w:rPr>
          <w:snapToGrid/>
        </w:rPr>
      </w:pPr>
      <w:bookmarkStart w:id="10" w:name="_Hlk151559832"/>
      <w:bookmarkEnd w:id="7"/>
      <w:bookmarkEnd w:id="9"/>
      <w:r w:rsidRPr="00723473">
        <w:rPr>
          <w:snapToGrid/>
        </w:rPr>
        <w:t>Notation:</w:t>
      </w:r>
    </w:p>
    <w:p w14:paraId="270B541C" w14:textId="77777777" w:rsidR="00723473" w:rsidRPr="00723473" w:rsidRDefault="00723473" w:rsidP="00723473">
      <w:pPr>
        <w:snapToGrid w:val="0"/>
        <w:spacing w:after="120"/>
        <w:rPr>
          <w:snapToGrid/>
        </w:rPr>
      </w:pPr>
      <w:bookmarkStart w:id="11" w:name="_Hlk172685145"/>
      <w:r w:rsidRPr="00723473">
        <w:rPr>
          <w:snapToGrid/>
        </w:rPr>
        <w:t>Authority: Health and Safety Code Sections 18930.5 and 18941.10.</w:t>
      </w:r>
    </w:p>
    <w:p w14:paraId="78A6708A" w14:textId="77777777" w:rsidR="00723473" w:rsidRPr="00723473" w:rsidRDefault="00723473" w:rsidP="00723473">
      <w:pPr>
        <w:snapToGrid w:val="0"/>
        <w:spacing w:after="120"/>
        <w:rPr>
          <w:snapToGrid/>
        </w:rPr>
      </w:pPr>
      <w:r w:rsidRPr="00723473">
        <w:rPr>
          <w:snapToGrid/>
        </w:rPr>
        <w:t>Reference(s): Health and Safety Code Sections 18930.5 and 18941.10.</w:t>
      </w:r>
    </w:p>
    <w:bookmarkEnd w:id="10"/>
    <w:bookmarkEnd w:id="11"/>
    <w:p w14:paraId="24384B15" w14:textId="4491DF77" w:rsidR="00723473" w:rsidRPr="00723473" w:rsidRDefault="00723473" w:rsidP="00723473">
      <w:pPr>
        <w:widowControl/>
        <w:rPr>
          <w:snapToGrid/>
        </w:rPr>
      </w:pPr>
    </w:p>
    <w:p w14:paraId="1EA51C4E" w14:textId="39DD56D5" w:rsidR="00723473" w:rsidRPr="00723473" w:rsidRDefault="00723473" w:rsidP="008E206B">
      <w:pPr>
        <w:pStyle w:val="Heading3"/>
        <w:rPr>
          <w:snapToGrid/>
        </w:rPr>
      </w:pPr>
      <w:bookmarkStart w:id="12" w:name="_Hlk152940732"/>
      <w:r w:rsidRPr="00723473">
        <w:rPr>
          <w:snapToGrid/>
        </w:rPr>
        <w:lastRenderedPageBreak/>
        <w:t>ITEM 5</w:t>
      </w:r>
      <w:r w:rsidRPr="00723473">
        <w:rPr>
          <w:snapToGrid/>
        </w:rPr>
        <w:br/>
      </w:r>
      <w:r w:rsidR="007B09AD" w:rsidRPr="007B09AD">
        <w:rPr>
          <w:bCs/>
        </w:rPr>
        <w:t xml:space="preserve">Chapter </w:t>
      </w:r>
      <w:r w:rsidR="007B09AD" w:rsidRPr="007F22AD">
        <w:t>5 NONRESIDENTIAL MANDATORY MEASURES</w:t>
      </w:r>
      <w:r w:rsidR="007B09AD" w:rsidRPr="0044593B">
        <w:rPr>
          <w:noProof/>
        </w:rPr>
        <w:t>,</w:t>
      </w:r>
      <w:r w:rsidR="007B09AD">
        <w:rPr>
          <w:noProof/>
        </w:rPr>
        <w:br/>
      </w:r>
      <w:r w:rsidR="007B09AD" w:rsidRPr="007F22AD">
        <w:rPr>
          <w:i/>
          <w:iCs/>
        </w:rPr>
        <w:t>DIVISION 5.1 – PLANNING AND DESIGN</w:t>
      </w:r>
      <w:r w:rsidR="007B09AD">
        <w:br/>
      </w:r>
      <w:r w:rsidR="007B09AD" w:rsidRPr="007F22AD">
        <w:t>SECTION 5.106 SITE PLANNING</w:t>
      </w:r>
      <w:r w:rsidR="007B09AD">
        <w:br/>
      </w:r>
      <w:r w:rsidRPr="00723473">
        <w:rPr>
          <w:snapToGrid/>
        </w:rPr>
        <w:t xml:space="preserve">Table 5.106.5.3.6 </w:t>
      </w:r>
      <w:bookmarkStart w:id="13" w:name="_Hlk158986199"/>
      <w:r w:rsidRPr="00723473">
        <w:rPr>
          <w:snapToGrid/>
        </w:rPr>
        <w:t>EVCS</w:t>
      </w:r>
      <w:r w:rsidRPr="00723473">
        <w:rPr>
          <w:rFonts w:cs="Arial"/>
          <w:bCs/>
          <w:snapToGrid/>
        </w:rPr>
        <w:t>–</w:t>
      </w:r>
      <w:bookmarkEnd w:id="13"/>
      <w:r w:rsidRPr="00723473">
        <w:rPr>
          <w:snapToGrid/>
        </w:rPr>
        <w:t>Power allocation method</w:t>
      </w:r>
      <w:bookmarkStart w:id="14" w:name="_Hlk152940268"/>
      <w:bookmarkEnd w:id="12"/>
    </w:p>
    <w:p w14:paraId="3F3B8E3D" w14:textId="77777777" w:rsidR="00723473" w:rsidRPr="00723473" w:rsidRDefault="00723473" w:rsidP="000825A5">
      <w:pPr>
        <w:snapToGrid w:val="0"/>
        <w:spacing w:after="120"/>
        <w:rPr>
          <w:snapToGrid/>
        </w:rPr>
      </w:pPr>
      <w:bookmarkStart w:id="15" w:name="_Hlk151559808"/>
      <w:bookmarkEnd w:id="14"/>
      <w:r w:rsidRPr="00723473">
        <w:rPr>
          <w:rFonts w:cs="Arial"/>
          <w:b/>
          <w:bCs/>
          <w:snapToGrid/>
          <w:szCs w:val="24"/>
        </w:rPr>
        <w:t>5.106.5.3.6</w:t>
      </w:r>
      <w:r w:rsidRPr="00723473">
        <w:rPr>
          <w:rFonts w:cs="Arial"/>
          <w:b/>
          <w:snapToGrid/>
          <w:szCs w:val="24"/>
        </w:rPr>
        <w:t xml:space="preserve"> </w:t>
      </w:r>
      <w:bookmarkStart w:id="16" w:name="_Hlk153205558"/>
      <w:r w:rsidRPr="00723473">
        <w:rPr>
          <w:rFonts w:cs="Arial"/>
          <w:b/>
          <w:bCs/>
          <w:snapToGrid/>
          <w:szCs w:val="24"/>
        </w:rPr>
        <w:t>Electric vehicle charging stations (EVCS)–power allocation method.</w:t>
      </w:r>
      <w:bookmarkEnd w:id="15"/>
      <w:bookmarkEnd w:id="16"/>
      <w:r w:rsidRPr="00723473">
        <w:rPr>
          <w:rFonts w:cs="Arial"/>
          <w:b/>
          <w:bCs/>
          <w:snapToGrid/>
          <w:szCs w:val="24"/>
        </w:rPr>
        <w:t xml:space="preserve"> </w:t>
      </w:r>
      <w:r w:rsidRPr="00723473">
        <w:rPr>
          <w:rFonts w:cs="Arial"/>
          <w:snapToGrid/>
          <w:szCs w:val="24"/>
        </w:rPr>
        <w:t>The power allocation method may be used as an alternative …</w:t>
      </w:r>
    </w:p>
    <w:p w14:paraId="6ACC92F3" w14:textId="77777777" w:rsidR="00723473" w:rsidRPr="00723473" w:rsidRDefault="00723473" w:rsidP="008E206B">
      <w:pPr>
        <w:pStyle w:val="Heading4"/>
        <w:rPr>
          <w:snapToGrid/>
        </w:rPr>
      </w:pPr>
      <w:bookmarkStart w:id="17" w:name="_Hlk153205518"/>
      <w:r w:rsidRPr="00723473">
        <w:rPr>
          <w:snapToGrid/>
        </w:rPr>
        <w:t>ITEM 5-1</w:t>
      </w:r>
    </w:p>
    <w:p w14:paraId="452E577B" w14:textId="77777777" w:rsidR="00723473" w:rsidRPr="00723473" w:rsidRDefault="00723473" w:rsidP="00723473">
      <w:pPr>
        <w:snapToGrid w:val="0"/>
        <w:spacing w:after="120"/>
        <w:jc w:val="center"/>
        <w:rPr>
          <w:b/>
          <w:bCs/>
          <w:snapToGrid/>
          <w:u w:val="single"/>
        </w:rPr>
      </w:pPr>
      <w:r w:rsidRPr="00723473">
        <w:rPr>
          <w:b/>
          <w:bCs/>
          <w:snapToGrid/>
        </w:rPr>
        <w:t>TABLE 5.106.5.3.6</w:t>
      </w:r>
      <w:r w:rsidRPr="00723473">
        <w:rPr>
          <w:snapToGrid/>
        </w:rPr>
        <w:br/>
      </w:r>
      <w:r w:rsidRPr="00723473">
        <w:rPr>
          <w:b/>
          <w:bCs/>
          <w:snapToGrid/>
          <w:u w:val="single"/>
        </w:rPr>
        <w:t>EVCS–Power allocation method</w:t>
      </w:r>
    </w:p>
    <w:p w14:paraId="1DDEF668" w14:textId="6AF04872" w:rsidR="00723473" w:rsidRDefault="00723473" w:rsidP="00723473">
      <w:pPr>
        <w:snapToGrid w:val="0"/>
        <w:spacing w:after="120"/>
      </w:pPr>
      <w:r w:rsidRPr="00723473">
        <w:t>[15-day changes proposed in column 1 only</w:t>
      </w:r>
      <w:r w:rsidRPr="00723473" w:rsidDel="00B7045F">
        <w:t>]</w:t>
      </w:r>
    </w:p>
    <w:p w14:paraId="1772C958" w14:textId="2023DB38" w:rsidR="008C1B48" w:rsidRDefault="00C34980" w:rsidP="00723473">
      <w:pPr>
        <w:snapToGrid w:val="0"/>
        <w:spacing w:after="120"/>
      </w:pPr>
      <w:r>
        <w:rPr>
          <w:noProof/>
          <w:snapToGrid/>
        </w:rPr>
        <w:drawing>
          <wp:inline distT="0" distB="0" distL="0" distR="0" wp14:anchorId="1A9DBEE0" wp14:editId="4DC3A20D">
            <wp:extent cx="1311965" cy="976619"/>
            <wp:effectExtent l="0" t="0" r="2540" b="0"/>
            <wp:docPr id="1990243268" name="Picture 3" descr="Total actual parking spaces values change  from 0 to 9 spaces, to 1 to 9 spaces.&#10;parenthetical notes &#10;0 [begin double underline] 1 [end double underline] das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43268" name="Picture 3" descr="Total actual parking spaces values change  from 0 to 9 spaces, to 1 to 9 spaces.&#10;parenthetical notes &#10;0 [begin double underline] 1 [end double underline] dash 9"/>
                    <pic:cNvPicPr/>
                  </pic:nvPicPr>
                  <pic:blipFill>
                    <a:blip r:embed="rId8">
                      <a:extLst>
                        <a:ext uri="{28A0092B-C50C-407E-A947-70E740481C1C}">
                          <a14:useLocalDpi xmlns:a14="http://schemas.microsoft.com/office/drawing/2010/main" val="0"/>
                        </a:ext>
                      </a:extLst>
                    </a:blip>
                    <a:stretch>
                      <a:fillRect/>
                    </a:stretch>
                  </pic:blipFill>
                  <pic:spPr>
                    <a:xfrm>
                      <a:off x="0" y="0"/>
                      <a:ext cx="1345489" cy="1001574"/>
                    </a:xfrm>
                    <a:prstGeom prst="rect">
                      <a:avLst/>
                    </a:prstGeom>
                  </pic:spPr>
                </pic:pic>
              </a:graphicData>
            </a:graphic>
          </wp:inline>
        </w:drawing>
      </w:r>
    </w:p>
    <w:bookmarkEnd w:id="17"/>
    <w:p w14:paraId="2388DC7C" w14:textId="77777777" w:rsidR="00723473" w:rsidRPr="007B0774" w:rsidRDefault="00723473" w:rsidP="00F23DAE">
      <w:pPr>
        <w:spacing w:before="120"/>
        <w:rPr>
          <w:rFonts w:eastAsiaTheme="majorEastAsia"/>
          <w:b/>
          <w:bCs/>
        </w:rPr>
      </w:pPr>
      <w:r w:rsidRPr="007B0774">
        <w:rPr>
          <w:rFonts w:eastAsiaTheme="majorEastAsia"/>
          <w:b/>
          <w:bCs/>
        </w:rPr>
        <w:t xml:space="preserve">Rationale: </w:t>
      </w:r>
    </w:p>
    <w:p w14:paraId="547F4767" w14:textId="237ABAF7" w:rsidR="00723473" w:rsidRPr="00723473" w:rsidRDefault="00723473" w:rsidP="00723473">
      <w:pPr>
        <w:spacing w:after="120"/>
        <w:rPr>
          <w:rFonts w:cs="Arial"/>
        </w:rPr>
      </w:pPr>
      <w:r w:rsidRPr="00723473">
        <w:rPr>
          <w:rFonts w:cs="Arial"/>
        </w:rPr>
        <w:t xml:space="preserve">See </w:t>
      </w:r>
      <w:r w:rsidR="00F23DAE">
        <w:rPr>
          <w:rFonts w:cs="Arial"/>
        </w:rPr>
        <w:t>r</w:t>
      </w:r>
      <w:r w:rsidRPr="00723473">
        <w:rPr>
          <w:rFonts w:cs="Arial"/>
        </w:rPr>
        <w:t>ationale for ITEM 3-1.</w:t>
      </w:r>
    </w:p>
    <w:p w14:paraId="31E329C3" w14:textId="77777777" w:rsidR="00723473" w:rsidRPr="00723473" w:rsidRDefault="00723473" w:rsidP="008E206B">
      <w:pPr>
        <w:pStyle w:val="Heading4"/>
        <w:rPr>
          <w:snapToGrid/>
        </w:rPr>
      </w:pPr>
      <w:r w:rsidRPr="00723473">
        <w:rPr>
          <w:snapToGrid/>
        </w:rPr>
        <w:t>Notation:</w:t>
      </w:r>
    </w:p>
    <w:p w14:paraId="72C5F487" w14:textId="77777777" w:rsidR="00723473" w:rsidRPr="00723473" w:rsidRDefault="00723473" w:rsidP="00723473">
      <w:pPr>
        <w:snapToGrid w:val="0"/>
        <w:spacing w:after="120"/>
        <w:rPr>
          <w:snapToGrid/>
        </w:rPr>
      </w:pPr>
      <w:r w:rsidRPr="00723473">
        <w:rPr>
          <w:snapToGrid/>
        </w:rPr>
        <w:t>Authority: Health and Safety Code Sections 18930.5 and 18941.10.</w:t>
      </w:r>
    </w:p>
    <w:p w14:paraId="2F42E551" w14:textId="77777777" w:rsidR="00723473" w:rsidRPr="00723473" w:rsidRDefault="00723473" w:rsidP="00C57496">
      <w:pPr>
        <w:snapToGrid w:val="0"/>
        <w:spacing w:after="120"/>
        <w:rPr>
          <w:snapToGrid/>
        </w:rPr>
      </w:pPr>
      <w:r w:rsidRPr="00723473">
        <w:rPr>
          <w:snapToGrid/>
        </w:rPr>
        <w:t>Reference(s): Health and Safety Code Sections 18930.5 and 18941.10.</w:t>
      </w:r>
    </w:p>
    <w:p w14:paraId="34641B16" w14:textId="77777777" w:rsidR="00723473" w:rsidRPr="00723473" w:rsidRDefault="00723473" w:rsidP="008E206B">
      <w:pPr>
        <w:pStyle w:val="Heading3"/>
        <w:rPr>
          <w:rFonts w:eastAsia="Batang"/>
        </w:rPr>
      </w:pPr>
      <w:bookmarkStart w:id="18" w:name="_Hlk117593249"/>
      <w:bookmarkStart w:id="19" w:name="_Hlk152765293"/>
      <w:r w:rsidRPr="00723473">
        <w:t xml:space="preserve">ITEM </w:t>
      </w:r>
      <w:r w:rsidRPr="00723473">
        <w:rPr>
          <w:noProof/>
        </w:rPr>
        <w:t>12</w:t>
      </w:r>
      <w:r w:rsidRPr="00723473">
        <w:br/>
      </w:r>
      <w:bookmarkStart w:id="20" w:name="_Hlk158986914"/>
      <w:r w:rsidRPr="00723473">
        <w:rPr>
          <w:rFonts w:eastAsia="Batang"/>
        </w:rPr>
        <w:t>APPENDIX A5 NONRESIDENTIAL VOLUNTARY MEASURES</w:t>
      </w:r>
      <w:r w:rsidRPr="00723473">
        <w:rPr>
          <w:rFonts w:eastAsia="Batang"/>
        </w:rPr>
        <w:br/>
      </w:r>
      <w:r w:rsidRPr="00723473">
        <w:rPr>
          <w:rFonts w:eastAsia="Batang"/>
          <w:i/>
          <w:iCs/>
        </w:rPr>
        <w:t>DIVISION A5.1 – PLANNING AND DESIGN</w:t>
      </w:r>
      <w:r w:rsidRPr="00723473">
        <w:rPr>
          <w:rFonts w:eastAsia="Batang"/>
        </w:rPr>
        <w:br/>
        <w:t>SECTION A5.106 SITE DEVELOPMENT</w:t>
      </w:r>
    </w:p>
    <w:p w14:paraId="7F6FD97B" w14:textId="77777777" w:rsidR="00723473" w:rsidRDefault="00723473" w:rsidP="000825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120"/>
        <w:rPr>
          <w:rFonts w:cs="Arial"/>
          <w:snapToGrid/>
          <w:szCs w:val="24"/>
        </w:rPr>
      </w:pPr>
      <w:bookmarkStart w:id="21" w:name="_Hlk152755830"/>
      <w:bookmarkEnd w:id="18"/>
      <w:bookmarkEnd w:id="19"/>
      <w:bookmarkEnd w:id="20"/>
      <w:r w:rsidRPr="00723473">
        <w:rPr>
          <w:rFonts w:eastAsia="Batang"/>
          <w:b/>
          <w:bCs/>
        </w:rPr>
        <w:t>A5.106.5.3 Electric vehicle (EV) charging.</w:t>
      </w:r>
      <w:bookmarkEnd w:id="21"/>
      <w:r w:rsidRPr="00723473">
        <w:rPr>
          <w:rFonts w:eastAsia="Batang"/>
          <w:b/>
          <w:bCs/>
        </w:rPr>
        <w:t xml:space="preserve"> [N] </w:t>
      </w:r>
      <w:r w:rsidRPr="00723473">
        <w:rPr>
          <w:rFonts w:eastAsia="Batang" w:cs="Arial"/>
          <w:noProof/>
        </w:rPr>
        <w:t>Construction shall comply with Section A5.106.5.3.1 Tier 1 or A5.106.5.3.3 Tier 2 …</w:t>
      </w:r>
      <w:r w:rsidRPr="00723473">
        <w:rPr>
          <w:rFonts w:cs="Arial"/>
          <w:snapToGrid/>
          <w:szCs w:val="24"/>
        </w:rPr>
        <w:t xml:space="preserve"> </w:t>
      </w:r>
    </w:p>
    <w:p w14:paraId="00F73042" w14:textId="77777777" w:rsidR="00723473" w:rsidRPr="00723473" w:rsidRDefault="00723473" w:rsidP="008E206B">
      <w:pPr>
        <w:pStyle w:val="Heading4"/>
      </w:pPr>
      <w:r w:rsidRPr="00723473">
        <w:t>ITEM 12-1</w:t>
      </w:r>
    </w:p>
    <w:p w14:paraId="26030F19" w14:textId="77777777" w:rsidR="00723473" w:rsidRPr="00723473" w:rsidRDefault="00723473" w:rsidP="00723473">
      <w:pPr>
        <w:widowControl/>
        <w:tabs>
          <w:tab w:val="left" w:pos="11520"/>
          <w:tab w:val="left" w:pos="12240"/>
          <w:tab w:val="left" w:pos="12960"/>
        </w:tabs>
        <w:autoSpaceDE w:val="0"/>
        <w:autoSpaceDN w:val="0"/>
        <w:adjustRightInd w:val="0"/>
        <w:spacing w:after="120"/>
        <w:ind w:left="540"/>
        <w:rPr>
          <w:rFonts w:cs="Arial"/>
          <w:noProof/>
          <w:szCs w:val="24"/>
        </w:rPr>
      </w:pPr>
      <w:bookmarkStart w:id="22" w:name="_Hlk158986966"/>
      <w:r w:rsidRPr="00723473">
        <w:rPr>
          <w:b/>
          <w:bCs/>
        </w:rPr>
        <w:t>A5.106.5.3.1 Tier 1</w:t>
      </w:r>
      <w:bookmarkEnd w:id="22"/>
      <w:r w:rsidRPr="00723473">
        <w:rPr>
          <w:b/>
          <w:bCs/>
        </w:rPr>
        <w:t>.</w:t>
      </w:r>
      <w:r w:rsidRPr="00723473">
        <w:rPr>
          <w:rFonts w:cs="Arial"/>
          <w:noProof/>
          <w:szCs w:val="24"/>
        </w:rPr>
        <w:t xml:space="preserve"> Comply with Section 5.106.5.3.1 …</w:t>
      </w:r>
    </w:p>
    <w:p w14:paraId="2906D651" w14:textId="2B36BE5C" w:rsidR="00363272" w:rsidRDefault="00363272">
      <w:pPr>
        <w:widowControl/>
        <w:rPr>
          <w:b/>
          <w:bCs/>
        </w:rPr>
      </w:pPr>
      <w:bookmarkStart w:id="23" w:name="_Hlk170730145"/>
    </w:p>
    <w:p w14:paraId="4ADDD24B" w14:textId="77777777" w:rsidR="002167A0" w:rsidRDefault="002167A0">
      <w:pPr>
        <w:widowControl/>
        <w:rPr>
          <w:b/>
          <w:bCs/>
        </w:rPr>
      </w:pPr>
      <w:r>
        <w:rPr>
          <w:b/>
          <w:bCs/>
        </w:rPr>
        <w:br w:type="page"/>
      </w:r>
    </w:p>
    <w:p w14:paraId="5E66F19F" w14:textId="3CA6176F" w:rsidR="00723473" w:rsidRPr="00723473" w:rsidRDefault="00723473" w:rsidP="00723473">
      <w:pPr>
        <w:snapToGrid w:val="0"/>
        <w:spacing w:after="120"/>
        <w:jc w:val="center"/>
        <w:rPr>
          <w:rFonts w:cs="Arial"/>
          <w:b/>
          <w:bCs/>
          <w:szCs w:val="24"/>
          <w:u w:val="single"/>
        </w:rPr>
      </w:pPr>
      <w:r w:rsidRPr="00723473">
        <w:rPr>
          <w:b/>
          <w:bCs/>
        </w:rPr>
        <w:lastRenderedPageBreak/>
        <w:t>TABLE A5.106.5.3.1</w:t>
      </w:r>
      <w:r w:rsidRPr="00723473">
        <w:rPr>
          <w:b/>
          <w:bCs/>
        </w:rPr>
        <w:br/>
      </w:r>
      <w:r w:rsidRPr="00723473">
        <w:rPr>
          <w:rFonts w:cs="Arial"/>
          <w:b/>
          <w:bCs/>
          <w:szCs w:val="24"/>
        </w:rPr>
        <w:t>Tier 1</w:t>
      </w:r>
      <w:r w:rsidRPr="00723473">
        <w:rPr>
          <w:rFonts w:cs="Arial"/>
          <w:b/>
          <w:bCs/>
          <w:szCs w:val="24"/>
          <w:u w:val="single"/>
        </w:rPr>
        <w:t xml:space="preserve"> EV capable spaces and EVCS</w:t>
      </w:r>
    </w:p>
    <w:p w14:paraId="2E50474D" w14:textId="381DD5C4" w:rsidR="00723473" w:rsidRDefault="00723473" w:rsidP="00723473">
      <w:pPr>
        <w:snapToGrid w:val="0"/>
        <w:spacing w:after="120"/>
      </w:pPr>
      <w:r w:rsidRPr="00723473">
        <w:t>[15-day changes proposed in column 1 only</w:t>
      </w:r>
      <w:r w:rsidRPr="00723473" w:rsidDel="00B7045F">
        <w:t>]</w:t>
      </w:r>
    </w:p>
    <w:p w14:paraId="389EE78E" w14:textId="35D8A265" w:rsidR="008C1B48" w:rsidRDefault="00C34980" w:rsidP="00723473">
      <w:pPr>
        <w:snapToGrid w:val="0"/>
        <w:spacing w:after="120"/>
      </w:pPr>
      <w:r>
        <w:rPr>
          <w:noProof/>
          <w:snapToGrid/>
        </w:rPr>
        <w:drawing>
          <wp:inline distT="0" distB="0" distL="0" distR="0" wp14:anchorId="52DAC812" wp14:editId="0B617734">
            <wp:extent cx="1311965" cy="976619"/>
            <wp:effectExtent l="0" t="0" r="2540" b="0"/>
            <wp:docPr id="614996151" name="Picture 3" descr="Total actual parking spaces values change  from 0 to 9 spaces, to 1 to 9 spaces.&#10;parenthetical notes &#10;0 [begin double underline] 1 [end double underline] das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96151" name="Picture 3" descr="Total actual parking spaces values change  from 0 to 9 spaces, to 1 to 9 spaces.&#10;parenthetical notes &#10;0 [begin double underline] 1 [end double underline] dash 9"/>
                    <pic:cNvPicPr/>
                  </pic:nvPicPr>
                  <pic:blipFill>
                    <a:blip r:embed="rId8">
                      <a:extLst>
                        <a:ext uri="{28A0092B-C50C-407E-A947-70E740481C1C}">
                          <a14:useLocalDpi xmlns:a14="http://schemas.microsoft.com/office/drawing/2010/main" val="0"/>
                        </a:ext>
                      </a:extLst>
                    </a:blip>
                    <a:stretch>
                      <a:fillRect/>
                    </a:stretch>
                  </pic:blipFill>
                  <pic:spPr>
                    <a:xfrm>
                      <a:off x="0" y="0"/>
                      <a:ext cx="1345489" cy="1001574"/>
                    </a:xfrm>
                    <a:prstGeom prst="rect">
                      <a:avLst/>
                    </a:prstGeom>
                  </pic:spPr>
                </pic:pic>
              </a:graphicData>
            </a:graphic>
          </wp:inline>
        </w:drawing>
      </w:r>
    </w:p>
    <w:bookmarkEnd w:id="23"/>
    <w:p w14:paraId="3D165177" w14:textId="77777777" w:rsidR="00D47495" w:rsidRDefault="00D47495" w:rsidP="00363272">
      <w:pPr>
        <w:widowControl/>
        <w:rPr>
          <w:rFonts w:eastAsia="Batang"/>
          <w:u w:val="single"/>
        </w:rPr>
      </w:pPr>
    </w:p>
    <w:p w14:paraId="2DB83D12" w14:textId="2A98E386" w:rsidR="00723473" w:rsidRPr="00723473" w:rsidRDefault="00723473" w:rsidP="008E206B">
      <w:pPr>
        <w:pStyle w:val="Heading4"/>
        <w:rPr>
          <w:rFonts w:eastAsia="Batang"/>
        </w:rPr>
      </w:pPr>
      <w:r w:rsidRPr="00723473">
        <w:rPr>
          <w:rFonts w:eastAsia="Batang"/>
        </w:rPr>
        <w:t>ITEM 12-2</w:t>
      </w:r>
    </w:p>
    <w:p w14:paraId="100BA054" w14:textId="77777777" w:rsidR="00723473" w:rsidRPr="00723473" w:rsidRDefault="00723473" w:rsidP="00723473">
      <w:pPr>
        <w:spacing w:after="120"/>
        <w:ind w:left="540"/>
        <w:rPr>
          <w:rFonts w:cs="Arial"/>
          <w:szCs w:val="24"/>
        </w:rPr>
      </w:pPr>
      <w:r w:rsidRPr="00723473">
        <w:rPr>
          <w:b/>
          <w:bCs/>
        </w:rPr>
        <w:t xml:space="preserve">A5.106.5.3.2 </w:t>
      </w:r>
      <w:r w:rsidRPr="00723473">
        <w:rPr>
          <w:b/>
          <w:bCs/>
          <w:u w:val="single"/>
        </w:rPr>
        <w:t xml:space="preserve">Tier 1 </w:t>
      </w:r>
      <w:bookmarkStart w:id="24" w:name="_Hlk158987290"/>
      <w:r w:rsidRPr="00723473">
        <w:rPr>
          <w:rFonts w:cs="Arial"/>
          <w:b/>
          <w:bCs/>
          <w:szCs w:val="24"/>
        </w:rPr>
        <w:t>Electric vehicle charging stations (EVCS)—power allocation method</w:t>
      </w:r>
      <w:bookmarkEnd w:id="24"/>
      <w:r w:rsidRPr="00723473">
        <w:rPr>
          <w:rFonts w:cs="Arial"/>
          <w:b/>
          <w:bCs/>
          <w:szCs w:val="24"/>
        </w:rPr>
        <w:t>.</w:t>
      </w:r>
      <w:r w:rsidRPr="00723473">
        <w:rPr>
          <w:rFonts w:cs="Arial"/>
          <w:szCs w:val="24"/>
        </w:rPr>
        <w:t xml:space="preserve"> The power allocation method may be used as an alternative …</w:t>
      </w:r>
    </w:p>
    <w:p w14:paraId="29126041" w14:textId="77777777" w:rsidR="00723473" w:rsidRPr="00723473" w:rsidRDefault="00723473" w:rsidP="00723473">
      <w:pPr>
        <w:snapToGrid w:val="0"/>
        <w:spacing w:after="120"/>
        <w:jc w:val="center"/>
        <w:rPr>
          <w:rFonts w:eastAsia="Batang"/>
          <w:b/>
          <w:bCs/>
          <w:u w:val="single"/>
        </w:rPr>
      </w:pPr>
      <w:r w:rsidRPr="00723473">
        <w:rPr>
          <w:rFonts w:eastAsia="Batang"/>
          <w:b/>
          <w:bCs/>
        </w:rPr>
        <w:t>TABLE A5.106.5.3.2</w:t>
      </w:r>
      <w:r w:rsidRPr="00723473">
        <w:rPr>
          <w:rFonts w:eastAsia="Batang"/>
          <w:b/>
          <w:bCs/>
        </w:rPr>
        <w:br/>
        <w:t>Tier 1</w:t>
      </w:r>
      <w:r w:rsidRPr="00723473">
        <w:rPr>
          <w:rFonts w:eastAsia="Batang"/>
          <w:b/>
          <w:bCs/>
          <w:u w:val="single"/>
        </w:rPr>
        <w:t xml:space="preserve"> </w:t>
      </w:r>
      <w:bookmarkStart w:id="25" w:name="_Hlk158987592"/>
      <w:r w:rsidRPr="00723473">
        <w:rPr>
          <w:rFonts w:eastAsia="Batang"/>
          <w:b/>
          <w:bCs/>
          <w:u w:val="single"/>
        </w:rPr>
        <w:t>EVCS–</w:t>
      </w:r>
      <w:bookmarkEnd w:id="25"/>
      <w:r w:rsidRPr="00723473">
        <w:rPr>
          <w:rFonts w:eastAsia="Batang"/>
          <w:b/>
          <w:bCs/>
          <w:u w:val="single"/>
        </w:rPr>
        <w:t xml:space="preserve">Power allocation method </w:t>
      </w:r>
    </w:p>
    <w:p w14:paraId="410357C2" w14:textId="7F077BA8" w:rsidR="00723473" w:rsidRDefault="00723473" w:rsidP="00723473">
      <w:pPr>
        <w:snapToGrid w:val="0"/>
        <w:spacing w:after="120"/>
      </w:pPr>
      <w:r w:rsidRPr="00723473">
        <w:t>[15-day changes proposed in column 1 only</w:t>
      </w:r>
      <w:r w:rsidRPr="00723473" w:rsidDel="00B7045F">
        <w:t>]</w:t>
      </w:r>
    </w:p>
    <w:p w14:paraId="3A3BE6BE" w14:textId="1628FC44" w:rsidR="008C1B48" w:rsidRDefault="00C34980" w:rsidP="00723473">
      <w:pPr>
        <w:snapToGrid w:val="0"/>
        <w:spacing w:after="120"/>
      </w:pPr>
      <w:r>
        <w:rPr>
          <w:noProof/>
          <w:snapToGrid/>
        </w:rPr>
        <w:drawing>
          <wp:inline distT="0" distB="0" distL="0" distR="0" wp14:anchorId="3D628B01" wp14:editId="015A12A4">
            <wp:extent cx="1311965" cy="976619"/>
            <wp:effectExtent l="0" t="0" r="2540" b="0"/>
            <wp:docPr id="912912586" name="Picture 3" descr="Total actual parking spaces values change  from 0 to 9 spaces, to 1 to 9 spaces.&#10;parenthetical notes &#10;0 [begin double underline] 1 [end double underline] das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12586" name="Picture 3" descr="Total actual parking spaces values change  from 0 to 9 spaces, to 1 to 9 spaces.&#10;parenthetical notes &#10;0 [begin double underline] 1 [end double underline] dash 9"/>
                    <pic:cNvPicPr/>
                  </pic:nvPicPr>
                  <pic:blipFill>
                    <a:blip r:embed="rId8">
                      <a:extLst>
                        <a:ext uri="{28A0092B-C50C-407E-A947-70E740481C1C}">
                          <a14:useLocalDpi xmlns:a14="http://schemas.microsoft.com/office/drawing/2010/main" val="0"/>
                        </a:ext>
                      </a:extLst>
                    </a:blip>
                    <a:stretch>
                      <a:fillRect/>
                    </a:stretch>
                  </pic:blipFill>
                  <pic:spPr>
                    <a:xfrm>
                      <a:off x="0" y="0"/>
                      <a:ext cx="1345489" cy="1001574"/>
                    </a:xfrm>
                    <a:prstGeom prst="rect">
                      <a:avLst/>
                    </a:prstGeom>
                  </pic:spPr>
                </pic:pic>
              </a:graphicData>
            </a:graphic>
          </wp:inline>
        </w:drawing>
      </w:r>
    </w:p>
    <w:p w14:paraId="1D2A2DF9" w14:textId="5D106110" w:rsidR="00723473" w:rsidRPr="001F42E0" w:rsidRDefault="00723473" w:rsidP="00F23DAE">
      <w:pPr>
        <w:spacing w:before="120"/>
        <w:rPr>
          <w:b/>
          <w:bCs/>
        </w:rPr>
      </w:pPr>
      <w:r w:rsidRPr="001F42E0">
        <w:rPr>
          <w:rFonts w:eastAsiaTheme="majorEastAsia"/>
          <w:b/>
          <w:bCs/>
          <w:iCs/>
        </w:rPr>
        <w:t>Rationale</w:t>
      </w:r>
      <w:r w:rsidRPr="001F42E0">
        <w:rPr>
          <w:b/>
          <w:bCs/>
        </w:rPr>
        <w:t xml:space="preserve"> for ITEMS 12-1 and 12-2: </w:t>
      </w:r>
    </w:p>
    <w:p w14:paraId="7632713C" w14:textId="511257F2" w:rsidR="00723473" w:rsidRPr="00723473" w:rsidRDefault="00723473" w:rsidP="00D006C5">
      <w:pPr>
        <w:snapToGrid w:val="0"/>
        <w:spacing w:after="120"/>
      </w:pPr>
      <w:r w:rsidRPr="00723473">
        <w:t xml:space="preserve">See </w:t>
      </w:r>
      <w:r w:rsidR="00F23DAE">
        <w:t>r</w:t>
      </w:r>
      <w:r w:rsidRPr="00723473">
        <w:t>ationale for ITEM 3-1.</w:t>
      </w:r>
    </w:p>
    <w:p w14:paraId="46BFE986" w14:textId="77777777" w:rsidR="009919D6" w:rsidRPr="0044593B" w:rsidRDefault="009919D6" w:rsidP="008E206B">
      <w:pPr>
        <w:pStyle w:val="Heading4"/>
      </w:pPr>
      <w:r w:rsidRPr="0044593B">
        <w:t>Notation:</w:t>
      </w:r>
    </w:p>
    <w:p w14:paraId="786AEEF5" w14:textId="77777777" w:rsidR="00723473" w:rsidRPr="00723473" w:rsidRDefault="00723473" w:rsidP="00723473">
      <w:pPr>
        <w:snapToGrid w:val="0"/>
        <w:spacing w:after="120"/>
        <w:rPr>
          <w:snapToGrid/>
        </w:rPr>
      </w:pPr>
      <w:r w:rsidRPr="00723473">
        <w:rPr>
          <w:snapToGrid/>
        </w:rPr>
        <w:t>Authority: Health and Safety Code Sections 18930.5 and 18941.10.</w:t>
      </w:r>
    </w:p>
    <w:p w14:paraId="395E159B" w14:textId="77777777" w:rsidR="00723473" w:rsidRPr="00723473" w:rsidRDefault="00723473" w:rsidP="00723473">
      <w:pPr>
        <w:snapToGrid w:val="0"/>
        <w:spacing w:after="120"/>
        <w:rPr>
          <w:snapToGrid/>
        </w:rPr>
      </w:pPr>
      <w:r w:rsidRPr="00723473">
        <w:rPr>
          <w:snapToGrid/>
        </w:rPr>
        <w:t>Reference(s): Health and Safety Code Sections 18930.5 and 18941.10.</w:t>
      </w:r>
    </w:p>
    <w:p w14:paraId="4507185C" w14:textId="40BFFD70" w:rsidR="00F8791A" w:rsidRPr="00F8791A" w:rsidRDefault="009919D6" w:rsidP="00D006C5">
      <w:pPr>
        <w:pStyle w:val="Heading3"/>
        <w:spacing w:before="360"/>
        <w:rPr>
          <w:rFonts w:cs="Arial"/>
          <w:bCs/>
          <w:noProof/>
          <w:highlight w:val="lightGray"/>
        </w:rPr>
      </w:pPr>
      <w:r w:rsidRPr="0044593B">
        <w:t xml:space="preserve">ITEM </w:t>
      </w:r>
      <w:r w:rsidR="00F8791A">
        <w:rPr>
          <w:noProof/>
        </w:rPr>
        <w:t>13</w:t>
      </w:r>
      <w:r w:rsidRPr="0044593B">
        <w:rPr>
          <w:snapToGrid/>
        </w:rPr>
        <w:br/>
      </w:r>
      <w:r w:rsidR="00F8791A" w:rsidRPr="00723473">
        <w:t>APPENDIX A5 NONRESIDENTIAL VOLUNTARY MEASURES</w:t>
      </w:r>
      <w:r w:rsidR="00F8791A" w:rsidRPr="00723473">
        <w:br/>
      </w:r>
      <w:r w:rsidR="00F8791A" w:rsidRPr="00723473">
        <w:rPr>
          <w:i/>
          <w:iCs/>
        </w:rPr>
        <w:t>DIVISION A5.1 – PLANNING AND DESIGN</w:t>
      </w:r>
      <w:r w:rsidR="00F8791A" w:rsidRPr="00723473">
        <w:br/>
        <w:t>SECTION A5.106 SITE DEVELOPMENT</w:t>
      </w:r>
      <w:bookmarkStart w:id="26" w:name="_Hlk158987727"/>
      <w:r w:rsidR="00622E48">
        <w:br/>
      </w:r>
      <w:r w:rsidR="00F8791A" w:rsidRPr="00F8791A">
        <w:t xml:space="preserve">Section A5.106.5.3.3 Tier 2 with </w:t>
      </w:r>
      <w:r w:rsidR="00D83D74" w:rsidRPr="00F8791A">
        <w:t xml:space="preserve">associated </w:t>
      </w:r>
      <w:r w:rsidR="00F8791A" w:rsidRPr="00F8791A">
        <w:t>Table A5.106.5.3.3 Tier 2 EV capable spaces</w:t>
      </w:r>
      <w:r w:rsidR="00F63D01">
        <w:t xml:space="preserve"> and</w:t>
      </w:r>
      <w:r w:rsidR="00622E48">
        <w:t xml:space="preserve"> </w:t>
      </w:r>
      <w:r w:rsidR="00F8791A" w:rsidRPr="00F8791A">
        <w:t>Section A5.106.5.3.4 Tier 2 Electric vehicle charging stations (EVCS)—power allocation method with associated Table A5.106.5.3.4</w:t>
      </w:r>
      <w:bookmarkEnd w:id="26"/>
    </w:p>
    <w:p w14:paraId="3C3E4D66" w14:textId="77777777" w:rsidR="00F8791A" w:rsidRPr="00DE3186" w:rsidRDefault="00F8791A" w:rsidP="008E206B">
      <w:pPr>
        <w:pStyle w:val="Heading4"/>
      </w:pPr>
      <w:r w:rsidRPr="00DE3186">
        <w:t>ITEM 13-1</w:t>
      </w:r>
    </w:p>
    <w:p w14:paraId="3D2C22F0" w14:textId="77777777" w:rsidR="00F8791A" w:rsidRPr="00F8791A" w:rsidRDefault="00F8791A" w:rsidP="00D71D30">
      <w:pPr>
        <w:spacing w:before="120" w:after="120"/>
        <w:ind w:left="547"/>
        <w:rPr>
          <w:rFonts w:cs="Arial"/>
          <w:strike/>
          <w:noProof/>
          <w:szCs w:val="24"/>
        </w:rPr>
      </w:pPr>
      <w:r w:rsidRPr="00F8791A">
        <w:rPr>
          <w:b/>
          <w:bCs/>
        </w:rPr>
        <w:t>A5.106.5.3.</w:t>
      </w:r>
      <w:r w:rsidRPr="00F8791A">
        <w:rPr>
          <w:rFonts w:cs="Arial"/>
          <w:b/>
          <w:noProof/>
          <w:szCs w:val="24"/>
        </w:rPr>
        <w:t xml:space="preserve">3 </w:t>
      </w:r>
      <w:r w:rsidRPr="00F8791A">
        <w:rPr>
          <w:b/>
          <w:bCs/>
        </w:rPr>
        <w:t>Tier 2.</w:t>
      </w:r>
      <w:r w:rsidRPr="00F8791A">
        <w:rPr>
          <w:rFonts w:cs="Arial"/>
          <w:noProof/>
          <w:szCs w:val="24"/>
        </w:rPr>
        <w:t xml:space="preserve"> …</w:t>
      </w:r>
    </w:p>
    <w:p w14:paraId="614525B4" w14:textId="77777777" w:rsidR="00F8791A" w:rsidRPr="00F8791A" w:rsidRDefault="00F8791A" w:rsidP="00F8791A">
      <w:pPr>
        <w:spacing w:after="120"/>
        <w:ind w:left="540"/>
        <w:rPr>
          <w:rFonts w:cs="Arial"/>
          <w:noProof/>
          <w:szCs w:val="24"/>
        </w:rPr>
      </w:pPr>
      <w:r w:rsidRPr="00F8791A">
        <w:rPr>
          <w:rFonts w:cs="Arial"/>
          <w:noProof/>
          <w:szCs w:val="24"/>
        </w:rPr>
        <w:t>Refer to Section 5.106.5.3.2 …</w:t>
      </w:r>
    </w:p>
    <w:p w14:paraId="34C46666" w14:textId="3AD96056" w:rsidR="00F8791A" w:rsidRPr="00F8791A" w:rsidRDefault="00F8791A" w:rsidP="00F8791A">
      <w:pPr>
        <w:snapToGrid w:val="0"/>
        <w:spacing w:after="120"/>
        <w:jc w:val="center"/>
        <w:rPr>
          <w:rFonts w:cs="Arial"/>
          <w:b/>
          <w:bCs/>
          <w:szCs w:val="24"/>
          <w:u w:val="single"/>
        </w:rPr>
      </w:pPr>
      <w:r w:rsidRPr="00F8791A">
        <w:rPr>
          <w:b/>
          <w:bCs/>
        </w:rPr>
        <w:lastRenderedPageBreak/>
        <w:t>TABLE A5.106.5.3.</w:t>
      </w:r>
      <w:r w:rsidRPr="00F8791A">
        <w:rPr>
          <w:rFonts w:cs="Arial"/>
          <w:b/>
          <w:bCs/>
          <w:szCs w:val="24"/>
        </w:rPr>
        <w:t>3</w:t>
      </w:r>
      <w:r w:rsidRPr="00F8791A">
        <w:rPr>
          <w:rFonts w:cs="Arial"/>
          <w:b/>
          <w:bCs/>
          <w:szCs w:val="24"/>
        </w:rPr>
        <w:br/>
        <w:t>Tier 2</w:t>
      </w:r>
      <w:r w:rsidRPr="00F8791A">
        <w:rPr>
          <w:rFonts w:cs="Arial"/>
          <w:b/>
          <w:bCs/>
          <w:szCs w:val="24"/>
          <w:u w:val="single"/>
        </w:rPr>
        <w:t xml:space="preserve"> EV capable spaces and EVCS</w:t>
      </w:r>
    </w:p>
    <w:p w14:paraId="6D992221" w14:textId="77EA4775" w:rsidR="00F8791A" w:rsidRDefault="00F8791A" w:rsidP="00F8791A">
      <w:pPr>
        <w:snapToGrid w:val="0"/>
        <w:spacing w:after="120"/>
      </w:pPr>
      <w:r w:rsidRPr="00F8791A">
        <w:t xml:space="preserve">[15-day changes proposed in column 1 </w:t>
      </w:r>
      <w:r w:rsidR="007B09AD" w:rsidRPr="00F8791A">
        <w:t>only</w:t>
      </w:r>
      <w:r w:rsidR="007B09AD" w:rsidRPr="00F8791A" w:rsidDel="00B7045F">
        <w:t>]</w:t>
      </w:r>
    </w:p>
    <w:p w14:paraId="5EA929DA" w14:textId="4D496EB9" w:rsidR="008C1B48" w:rsidRDefault="00C34980" w:rsidP="00F8791A">
      <w:pPr>
        <w:snapToGrid w:val="0"/>
        <w:spacing w:after="120"/>
      </w:pPr>
      <w:r>
        <w:rPr>
          <w:noProof/>
          <w:snapToGrid/>
        </w:rPr>
        <w:drawing>
          <wp:inline distT="0" distB="0" distL="0" distR="0" wp14:anchorId="15297F75" wp14:editId="0BC02612">
            <wp:extent cx="1311965" cy="976619"/>
            <wp:effectExtent l="0" t="0" r="2540" b="0"/>
            <wp:docPr id="1329437457" name="Picture 3" descr="Total actual parking spaces values change  from 0 to 9 spaces, to 1 to 9 spaces.&#10;parenthetical notes &#10;0 [begin double underline] 1 [end double underline] das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37457" name="Picture 3" descr="Total actual parking spaces values change  from 0 to 9 spaces, to 1 to 9 spaces.&#10;parenthetical notes &#10;0 [begin double underline] 1 [end double underline] dash 9"/>
                    <pic:cNvPicPr/>
                  </pic:nvPicPr>
                  <pic:blipFill>
                    <a:blip r:embed="rId8">
                      <a:extLst>
                        <a:ext uri="{28A0092B-C50C-407E-A947-70E740481C1C}">
                          <a14:useLocalDpi xmlns:a14="http://schemas.microsoft.com/office/drawing/2010/main" val="0"/>
                        </a:ext>
                      </a:extLst>
                    </a:blip>
                    <a:stretch>
                      <a:fillRect/>
                    </a:stretch>
                  </pic:blipFill>
                  <pic:spPr>
                    <a:xfrm>
                      <a:off x="0" y="0"/>
                      <a:ext cx="1345489" cy="1001574"/>
                    </a:xfrm>
                    <a:prstGeom prst="rect">
                      <a:avLst/>
                    </a:prstGeom>
                  </pic:spPr>
                </pic:pic>
              </a:graphicData>
            </a:graphic>
          </wp:inline>
        </w:drawing>
      </w:r>
    </w:p>
    <w:p w14:paraId="2B6E01E9" w14:textId="3AAD591C" w:rsidR="00570DEF" w:rsidRDefault="00570DEF">
      <w:pPr>
        <w:widowControl/>
      </w:pPr>
    </w:p>
    <w:p w14:paraId="0A24D78E" w14:textId="1DD14F8B" w:rsidR="00F8791A" w:rsidRPr="00F8791A" w:rsidRDefault="00F8791A" w:rsidP="008E206B">
      <w:pPr>
        <w:pStyle w:val="Heading4"/>
      </w:pPr>
      <w:r w:rsidRPr="00F8791A">
        <w:t>ITEM 13-2</w:t>
      </w:r>
    </w:p>
    <w:p w14:paraId="426E0C3F" w14:textId="77777777" w:rsidR="00F8791A" w:rsidRPr="00F8791A" w:rsidRDefault="00F8791A" w:rsidP="001F42E0">
      <w:pPr>
        <w:spacing w:before="120" w:after="120"/>
        <w:ind w:left="450"/>
        <w:rPr>
          <w:rFonts w:cs="Arial"/>
          <w:szCs w:val="24"/>
        </w:rPr>
      </w:pPr>
      <w:r w:rsidRPr="00F8791A">
        <w:rPr>
          <w:rFonts w:cs="Arial"/>
          <w:b/>
          <w:bCs/>
          <w:szCs w:val="24"/>
        </w:rPr>
        <w:t>A5.106.5.3.4</w:t>
      </w:r>
      <w:r w:rsidRPr="00F8791A">
        <w:rPr>
          <w:rFonts w:cs="Arial"/>
          <w:b/>
          <w:szCs w:val="24"/>
        </w:rPr>
        <w:t xml:space="preserve"> </w:t>
      </w:r>
      <w:r w:rsidRPr="00F8791A">
        <w:rPr>
          <w:rFonts w:cs="Arial"/>
          <w:b/>
          <w:szCs w:val="24"/>
          <w:u w:val="single"/>
        </w:rPr>
        <w:t xml:space="preserve">Tier 2 </w:t>
      </w:r>
      <w:r w:rsidRPr="00F8791A">
        <w:rPr>
          <w:rFonts w:cs="Arial"/>
          <w:b/>
          <w:bCs/>
          <w:szCs w:val="24"/>
        </w:rPr>
        <w:t xml:space="preserve">Electric vehicle charging stations (EVCS)—Power allocation method. </w:t>
      </w:r>
      <w:r w:rsidRPr="00F8791A">
        <w:rPr>
          <w:rFonts w:cs="Arial"/>
          <w:szCs w:val="24"/>
        </w:rPr>
        <w:t xml:space="preserve">The Power allocation method may be used as an alternative … </w:t>
      </w:r>
    </w:p>
    <w:p w14:paraId="12D8B1EE" w14:textId="77777777" w:rsidR="00F8791A" w:rsidRDefault="00F8791A" w:rsidP="00F8791A">
      <w:pPr>
        <w:snapToGrid w:val="0"/>
        <w:spacing w:after="120"/>
        <w:jc w:val="center"/>
        <w:rPr>
          <w:b/>
          <w:bCs/>
          <w:u w:val="single"/>
        </w:rPr>
      </w:pPr>
      <w:r w:rsidRPr="00F8791A">
        <w:rPr>
          <w:b/>
          <w:bCs/>
        </w:rPr>
        <w:t>TABLE A5.106.5.3.4</w:t>
      </w:r>
      <w:r w:rsidRPr="00F8791A">
        <w:rPr>
          <w:b/>
          <w:bCs/>
        </w:rPr>
        <w:br/>
        <w:t>Tier 2</w:t>
      </w:r>
      <w:bookmarkStart w:id="27" w:name="_Hlk158987899"/>
      <w:r w:rsidRPr="00F8791A">
        <w:rPr>
          <w:b/>
          <w:bCs/>
          <w:u w:val="single"/>
        </w:rPr>
        <w:t xml:space="preserve"> EVCS–</w:t>
      </w:r>
      <w:bookmarkEnd w:id="27"/>
      <w:r w:rsidRPr="00F8791A">
        <w:rPr>
          <w:b/>
          <w:bCs/>
          <w:u w:val="single"/>
        </w:rPr>
        <w:t>Power allocation method</w:t>
      </w:r>
    </w:p>
    <w:p w14:paraId="42FED7C1" w14:textId="06955A41" w:rsidR="008358F3" w:rsidRDefault="00D74070" w:rsidP="00D74070">
      <w:pPr>
        <w:ind w:left="-360"/>
      </w:pPr>
      <w:r>
        <w:rPr>
          <w:noProof/>
          <w:snapToGrid/>
        </w:rPr>
        <w:drawing>
          <wp:inline distT="0" distB="0" distL="0" distR="0" wp14:anchorId="2AB41A79" wp14:editId="5D11A38C">
            <wp:extent cx="6438900" cy="3535083"/>
            <wp:effectExtent l="0" t="0" r="0" b="8255"/>
            <wp:docPr id="901534078" name="Picture 3" descr="Image of a table&#10;Column 1, Values for Total Number of Actual Parking Spaces changed from&#10;0 to 9 spaces, to 1 to 9 spaces.&#10;Values in Columns 2, 3, and 4 are revised to reflect Total required  kVA based on 6.6 kVA instead of calculated values using 9.6 kVA.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34078" name="Picture 3" descr="Image of a table&#10;Column 1, Values for Total Number of Actual Parking Spaces changed from&#10;0 to 9 spaces, to 1 to 9 spaces.&#10;Values in Columns 2, 3, and 4 are revised to reflect Total required  kVA based on 6.6 kVA instead of calculated values using 9.6 kVA.  &#10;&#10;"/>
                    <pic:cNvPicPr/>
                  </pic:nvPicPr>
                  <pic:blipFill>
                    <a:blip r:embed="rId9">
                      <a:extLst>
                        <a:ext uri="{28A0092B-C50C-407E-A947-70E740481C1C}">
                          <a14:useLocalDpi xmlns:a14="http://schemas.microsoft.com/office/drawing/2010/main" val="0"/>
                        </a:ext>
                      </a:extLst>
                    </a:blip>
                    <a:stretch>
                      <a:fillRect/>
                    </a:stretch>
                  </pic:blipFill>
                  <pic:spPr>
                    <a:xfrm>
                      <a:off x="0" y="0"/>
                      <a:ext cx="6450608" cy="3541511"/>
                    </a:xfrm>
                    <a:prstGeom prst="rect">
                      <a:avLst/>
                    </a:prstGeom>
                  </pic:spPr>
                </pic:pic>
              </a:graphicData>
            </a:graphic>
          </wp:inline>
        </w:drawing>
      </w:r>
    </w:p>
    <w:p w14:paraId="69C93E38" w14:textId="77777777" w:rsidR="008358F3" w:rsidRDefault="008358F3" w:rsidP="001F42E0"/>
    <w:p w14:paraId="25F2136D" w14:textId="00AA1920" w:rsidR="00F8791A" w:rsidRPr="001F42E0" w:rsidRDefault="00F8791A" w:rsidP="001F42E0">
      <w:pPr>
        <w:rPr>
          <w:rFonts w:eastAsiaTheme="majorEastAsia"/>
          <w:b/>
          <w:bCs/>
        </w:rPr>
      </w:pPr>
      <w:bookmarkStart w:id="28" w:name="_Hlk170732695"/>
      <w:bookmarkStart w:id="29" w:name="_Hlk170727423"/>
      <w:bookmarkStart w:id="30" w:name="_Hlk154503198"/>
      <w:r w:rsidRPr="001F42E0">
        <w:rPr>
          <w:rFonts w:eastAsiaTheme="majorEastAsia"/>
          <w:b/>
          <w:bCs/>
        </w:rPr>
        <w:t xml:space="preserve">Rationale: </w:t>
      </w:r>
    </w:p>
    <w:p w14:paraId="52E00919" w14:textId="7EEE6ADF" w:rsidR="00F8791A" w:rsidRPr="00F8791A" w:rsidRDefault="00F8791A" w:rsidP="00D71D30">
      <w:pPr>
        <w:spacing w:before="120" w:after="120"/>
        <w:rPr>
          <w:rFonts w:cs="Arial"/>
        </w:rPr>
      </w:pPr>
      <w:r w:rsidRPr="00F8791A">
        <w:rPr>
          <w:rFonts w:cs="Arial"/>
          <w:b/>
          <w:bCs/>
        </w:rPr>
        <w:t>ITEMS 13-1 and 13-2, values in Column 1:</w:t>
      </w:r>
      <w:r w:rsidRPr="00F8791A">
        <w:rPr>
          <w:rFonts w:cs="Arial"/>
        </w:rPr>
        <w:t xml:space="preserve"> See </w:t>
      </w:r>
      <w:r w:rsidR="00F23DAE">
        <w:rPr>
          <w:rFonts w:cs="Arial"/>
        </w:rPr>
        <w:t>r</w:t>
      </w:r>
      <w:r w:rsidRPr="00F8791A">
        <w:rPr>
          <w:rFonts w:cs="Arial"/>
        </w:rPr>
        <w:t>ationale for ITEM 3-1.</w:t>
      </w:r>
    </w:p>
    <w:bookmarkEnd w:id="28"/>
    <w:p w14:paraId="77C9EF60" w14:textId="77777777" w:rsidR="00F8791A" w:rsidRPr="00F8791A" w:rsidRDefault="00F8791A" w:rsidP="00F8791A">
      <w:pPr>
        <w:spacing w:after="120"/>
        <w:rPr>
          <w:rFonts w:cs="Arial"/>
        </w:rPr>
      </w:pPr>
      <w:r w:rsidRPr="00F8791A">
        <w:rPr>
          <w:rFonts w:cs="Arial"/>
          <w:b/>
          <w:bCs/>
        </w:rPr>
        <w:t>ITEM 13-2, values in Columns 2, 3, 4:</w:t>
      </w:r>
      <w:r w:rsidRPr="00F8791A">
        <w:rPr>
          <w:rFonts w:cs="Arial"/>
        </w:rPr>
        <w:t xml:space="preserve"> During the 45-day public comment period, BSC staff discovered an editorial error in the appendix Table A5.106.3.4 Teir 2 Power allocation method. This appendix table, which is solely based on power in kVA, is meant to be used in lieu of the EV charging requirements in appendix Section A5.106.5.3.3 Tier 2 EV capable spaces. This alternative was crafted using the required power allocation in amps for the EV capable spaces from appendix Table A5.106.5.3.3. </w:t>
      </w:r>
    </w:p>
    <w:p w14:paraId="18F13A47" w14:textId="77777777" w:rsidR="00F8791A" w:rsidRPr="00F8791A" w:rsidRDefault="00F8791A" w:rsidP="00F8791A">
      <w:pPr>
        <w:spacing w:after="120"/>
        <w:rPr>
          <w:rFonts w:cs="Arial"/>
        </w:rPr>
      </w:pPr>
      <w:r w:rsidRPr="00F8791A">
        <w:rPr>
          <w:rFonts w:cs="Arial"/>
        </w:rPr>
        <w:lastRenderedPageBreak/>
        <w:t xml:space="preserve">Table A5.106.5.3.4 shows the required minimum total kVA at 6.6 kVA for parking spaces up to 200 and 45 percent of the actual parking spaces for 201 and over listed in column 2 which have been converted into kVA using 40-amps per space which equates to 6.6 kVA using 32A at 208v. The kVA calculation for 6.6 kVA minimum for the EV capable space was based on the minimum codified requirements for a level 2 charger “a dedicated 208/240 volts, 40-ampere minimum branch circuit”. </w:t>
      </w:r>
    </w:p>
    <w:p w14:paraId="795567C4" w14:textId="77777777" w:rsidR="00F8791A" w:rsidRPr="00F8791A" w:rsidRDefault="00F8791A" w:rsidP="00F8791A">
      <w:pPr>
        <w:spacing w:after="120"/>
        <w:rPr>
          <w:rFonts w:cs="Arial"/>
        </w:rPr>
      </w:pPr>
      <w:r w:rsidRPr="00F8791A">
        <w:rPr>
          <w:rFonts w:cs="Arial"/>
        </w:rPr>
        <w:t>Knowing that the standard circuit breakers typically allow only 80% of their rating, the amperage was calculated as follows; 40Ax80%=32A. To convert the 32A to kVA, 208v is used because it is most common, and because it was the lower of the 2 voltages which results in increased chargers. See below for the kVA at 6.6 kVA calculation for both level 2 EVSE and EV capable spaces using the power allocation method.</w:t>
      </w:r>
    </w:p>
    <w:p w14:paraId="5C7AD053" w14:textId="373BF0D0" w:rsidR="00F8791A" w:rsidRPr="00F8791A" w:rsidRDefault="00F8791A" w:rsidP="007B09AD">
      <w:pPr>
        <w:spacing w:after="120"/>
        <w:jc w:val="center"/>
        <w:rPr>
          <w:rFonts w:cs="Arial"/>
        </w:rPr>
      </w:pPr>
      <w:r w:rsidRPr="00F8791A">
        <w:rPr>
          <w:rFonts w:cs="Arial"/>
        </w:rPr>
        <w:t>kVA</w:t>
      </w:r>
      <w:r w:rsidR="007B09AD" w:rsidRPr="00F8791A">
        <w:rPr>
          <w:rFonts w:cs="Arial"/>
        </w:rPr>
        <w:t>= (</w:t>
      </w:r>
      <w:r w:rsidRPr="00F8791A">
        <w:rPr>
          <w:rFonts w:cs="Arial"/>
        </w:rPr>
        <w:t>32"A" ×208"v</w:t>
      </w:r>
      <w:proofErr w:type="gramStart"/>
      <w:r w:rsidRPr="00F8791A">
        <w:rPr>
          <w:rFonts w:cs="Arial"/>
        </w:rPr>
        <w:t>" )</w:t>
      </w:r>
      <w:proofErr w:type="gramEnd"/>
      <w:r w:rsidRPr="00F8791A">
        <w:rPr>
          <w:rFonts w:cs="Arial"/>
        </w:rPr>
        <w:t>/1000=6.6kVA</w:t>
      </w:r>
    </w:p>
    <w:p w14:paraId="6E96DF62" w14:textId="3438B813" w:rsidR="00F8791A" w:rsidRPr="00F8791A" w:rsidRDefault="00F8791A" w:rsidP="00F8791A">
      <w:pPr>
        <w:spacing w:after="120"/>
        <w:rPr>
          <w:rFonts w:cs="Arial"/>
        </w:rPr>
      </w:pPr>
      <w:r w:rsidRPr="00F8791A">
        <w:rPr>
          <w:rFonts w:cs="Arial"/>
        </w:rPr>
        <w:t xml:space="preserve">This power method calculation aligns with the codified EV capable spaces required in Table A5.106.5.3.3 and provides consistency between the two tables. Essentially both compliance methods require </w:t>
      </w:r>
      <w:r w:rsidR="00F03A11">
        <w:rPr>
          <w:rFonts w:cs="Arial"/>
        </w:rPr>
        <w:t xml:space="preserve">a </w:t>
      </w:r>
      <w:r w:rsidRPr="00F8791A">
        <w:rPr>
          <w:rFonts w:cs="Arial"/>
        </w:rPr>
        <w:t>similar amount of electrical power.</w:t>
      </w:r>
    </w:p>
    <w:p w14:paraId="2D04ADA3" w14:textId="77777777" w:rsidR="00F8791A" w:rsidRPr="00F8791A" w:rsidRDefault="00F8791A" w:rsidP="00F8791A">
      <w:pPr>
        <w:snapToGrid w:val="0"/>
        <w:spacing w:after="120"/>
        <w:rPr>
          <w:snapToGrid/>
        </w:rPr>
      </w:pPr>
      <w:r w:rsidRPr="00F8791A">
        <w:rPr>
          <w:snapToGrid/>
        </w:rPr>
        <w:t xml:space="preserve">The editorial error occurred when calculating the power allocations (based on </w:t>
      </w:r>
      <w:proofErr w:type="spellStart"/>
      <w:r w:rsidRPr="00F8791A">
        <w:rPr>
          <w:snapToGrid/>
        </w:rPr>
        <w:t>kVAs</w:t>
      </w:r>
      <w:proofErr w:type="spellEnd"/>
      <w:r w:rsidRPr="00F8791A">
        <w:rPr>
          <w:snapToGrid/>
        </w:rPr>
        <w:t>) in Table A5.106.5.3.4 which were calculated using 9.6 kVA instead of the 6.6 kVA which is shown on table column 2. This created larger kVA values for the various ranges for the actual parking spaces. The CALGreen intent is that this appendix table is meant to be used in lieu of the EV charging requirements in appendix Section A5.106.5.3.3 Tier 2 EV capable spaces. As codified in the 2022 Intervening Code Cycle this error creates a conflict between the two tables.</w:t>
      </w:r>
    </w:p>
    <w:p w14:paraId="27860395" w14:textId="77777777" w:rsidR="00F8791A" w:rsidRPr="00F8791A" w:rsidRDefault="00F8791A" w:rsidP="00F8791A">
      <w:pPr>
        <w:snapToGrid w:val="0"/>
        <w:spacing w:after="120"/>
        <w:rPr>
          <w:snapToGrid/>
        </w:rPr>
      </w:pPr>
      <w:r w:rsidRPr="00F8791A">
        <w:rPr>
          <w:snapToGrid/>
        </w:rPr>
        <w:t xml:space="preserve">BSC proposes to amend appendix Tier 2 Table A5.106.3.4 Power allocation method to correct the error and provide </w:t>
      </w:r>
      <w:r w:rsidRPr="00F8791A">
        <w:rPr>
          <w:rFonts w:cs="Arial"/>
        </w:rPr>
        <w:t>consistency between the two tables.</w:t>
      </w:r>
      <w:r w:rsidRPr="00F8791A">
        <w:rPr>
          <w:snapToGrid/>
        </w:rPr>
        <w:t xml:space="preserve"> This amendment corrects the unintended consequences of penalizing</w:t>
      </w:r>
      <w:r w:rsidRPr="00F8791A">
        <w:rPr>
          <w:i/>
          <w:iCs/>
          <w:snapToGrid/>
        </w:rPr>
        <w:t xml:space="preserve"> </w:t>
      </w:r>
      <w:r w:rsidRPr="00F8791A">
        <w:rPr>
          <w:snapToGrid/>
        </w:rPr>
        <w:t xml:space="preserve">the power allocation compliance method compared to EV capable space power requirements.  </w:t>
      </w:r>
    </w:p>
    <w:bookmarkEnd w:id="29"/>
    <w:p w14:paraId="5B443BE6" w14:textId="77777777" w:rsidR="00F8791A" w:rsidRPr="00F8791A" w:rsidRDefault="00F8791A" w:rsidP="008E206B">
      <w:pPr>
        <w:pStyle w:val="Heading4"/>
      </w:pPr>
      <w:r w:rsidRPr="00F8791A">
        <w:t>Notation:</w:t>
      </w:r>
    </w:p>
    <w:p w14:paraId="63BADF6A" w14:textId="77777777" w:rsidR="00F8791A" w:rsidRPr="00F8791A" w:rsidRDefault="00F8791A" w:rsidP="00F8791A">
      <w:pPr>
        <w:spacing w:after="120"/>
        <w:rPr>
          <w:rFonts w:eastAsia="Batang" w:cs="Arial"/>
        </w:rPr>
      </w:pPr>
      <w:r w:rsidRPr="00F8791A">
        <w:rPr>
          <w:rFonts w:eastAsia="Batang" w:cs="Arial"/>
        </w:rPr>
        <w:t xml:space="preserve">Authority: </w:t>
      </w:r>
      <w:r w:rsidRPr="00F8791A">
        <w:rPr>
          <w:rFonts w:eastAsia="Batang" w:cs="Arial"/>
          <w:snapToGrid/>
          <w:color w:val="000000"/>
          <w:szCs w:val="24"/>
        </w:rPr>
        <w:t>Health and Safety Code Sections 18930.5 and 18941.10.</w:t>
      </w:r>
    </w:p>
    <w:p w14:paraId="1319BED3" w14:textId="77777777" w:rsidR="00F8791A" w:rsidRPr="00F8791A" w:rsidRDefault="00F8791A" w:rsidP="00F8791A">
      <w:pPr>
        <w:snapToGrid w:val="0"/>
        <w:spacing w:after="120"/>
        <w:rPr>
          <w:noProof/>
        </w:rPr>
      </w:pPr>
      <w:r w:rsidRPr="00F8791A">
        <w:rPr>
          <w:rFonts w:eastAsia="Batang" w:cs="Arial"/>
        </w:rPr>
        <w:t xml:space="preserve">Reference(s): </w:t>
      </w:r>
      <w:r w:rsidRPr="00F8791A">
        <w:rPr>
          <w:rFonts w:eastAsia="Batang" w:cs="Arial"/>
          <w:snapToGrid/>
          <w:color w:val="000000"/>
          <w:szCs w:val="24"/>
        </w:rPr>
        <w:t xml:space="preserve">Health and Safety Code Sections 18930.5, </w:t>
      </w:r>
      <w:r w:rsidRPr="00F8791A">
        <w:rPr>
          <w:rFonts w:eastAsia="Batang"/>
          <w:snapToGrid/>
        </w:rPr>
        <w:t xml:space="preserve">18931.7 </w:t>
      </w:r>
      <w:r w:rsidRPr="00F8791A">
        <w:rPr>
          <w:rFonts w:eastAsia="Batang" w:cs="Arial"/>
          <w:snapToGrid/>
          <w:color w:val="000000"/>
          <w:szCs w:val="24"/>
        </w:rPr>
        <w:t>and 18941.10</w:t>
      </w:r>
      <w:bookmarkEnd w:id="30"/>
      <w:r w:rsidRPr="00F8791A">
        <w:rPr>
          <w:rFonts w:eastAsia="Batang" w:cs="Arial"/>
          <w:snapToGrid/>
          <w:color w:val="000000"/>
          <w:szCs w:val="24"/>
        </w:rPr>
        <w:t>.</w:t>
      </w:r>
    </w:p>
    <w:sectPr w:rsidR="00F8791A" w:rsidRPr="00F8791A" w:rsidSect="007C04EF">
      <w:headerReference w:type="default" r:id="rId10"/>
      <w:footerReference w:type="default" r:id="rId1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C8FB" w14:textId="77777777" w:rsidR="00995899" w:rsidRDefault="00995899">
      <w:r>
        <w:separator/>
      </w:r>
    </w:p>
  </w:endnote>
  <w:endnote w:type="continuationSeparator" w:id="0">
    <w:p w14:paraId="2ED12334" w14:textId="77777777" w:rsidR="00995899" w:rsidRDefault="009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1EA4771C" w:rsidR="001A4A03" w:rsidRDefault="001A4A03" w:rsidP="007C04EF">
    <w:pPr>
      <w:pStyle w:val="Footer"/>
      <w:tabs>
        <w:tab w:val="clear" w:pos="4320"/>
        <w:tab w:val="clear" w:pos="8640"/>
        <w:tab w:val="right" w:pos="9180"/>
      </w:tabs>
    </w:pPr>
    <w:r>
      <w:t xml:space="preserve">BSC TP-104 (Rev. </w:t>
    </w:r>
    <w:r w:rsidR="00034D29">
      <w:t>10</w:t>
    </w:r>
    <w:r>
      <w:t>/</w:t>
    </w:r>
    <w:r w:rsidR="001D6710">
      <w:t>2</w:t>
    </w:r>
    <w:r w:rsidR="00034D29">
      <w:t>3</w:t>
    </w:r>
    <w:r w:rsidRPr="004C48A0">
      <w:t>)</w:t>
    </w:r>
    <w:r w:rsidR="00EC0A76">
      <w:t xml:space="preserve"> Additional</w:t>
    </w:r>
    <w:r w:rsidR="00A0189B">
      <w:t xml:space="preserve"> 15</w:t>
    </w:r>
    <w:r>
      <w:t>-Day Express Terms</w:t>
    </w:r>
    <w:r w:rsidR="00A0189B">
      <w:tab/>
    </w:r>
    <w:r w:rsidR="009919D6">
      <w:t>July 2</w:t>
    </w:r>
    <w:r w:rsidR="00C14D46">
      <w:t>5</w:t>
    </w:r>
    <w:r w:rsidR="009919D6">
      <w:t>, 2024</w:t>
    </w:r>
  </w:p>
  <w:p w14:paraId="723451C6" w14:textId="6E905F59" w:rsidR="001A4A03" w:rsidRDefault="009919D6" w:rsidP="007C04EF">
    <w:pPr>
      <w:pStyle w:val="Footer"/>
      <w:tabs>
        <w:tab w:val="clear" w:pos="4320"/>
        <w:tab w:val="clear" w:pos="8640"/>
        <w:tab w:val="center" w:pos="5040"/>
        <w:tab w:val="right" w:pos="9180"/>
      </w:tabs>
      <w:rPr>
        <w:szCs w:val="16"/>
      </w:rPr>
    </w:pPr>
    <w:r>
      <w:rPr>
        <w:szCs w:val="16"/>
      </w:rPr>
      <w:t>BSC 03/24</w:t>
    </w:r>
    <w:r w:rsidR="000F6D3A">
      <w:rPr>
        <w:szCs w:val="16"/>
      </w:rPr>
      <w:t xml:space="preserve"> </w:t>
    </w:r>
    <w:r w:rsidR="001A4A03">
      <w:rPr>
        <w:szCs w:val="16"/>
      </w:rPr>
      <w:t>- Part</w:t>
    </w:r>
    <w:r w:rsidR="00A0189B">
      <w:rPr>
        <w:szCs w:val="16"/>
      </w:rPr>
      <w:t xml:space="preserve"> </w:t>
    </w:r>
    <w:r>
      <w:rPr>
        <w:szCs w:val="16"/>
      </w:rPr>
      <w:t>11</w:t>
    </w:r>
    <w:r w:rsidR="00C14D46">
      <w:rPr>
        <w:szCs w:val="16"/>
      </w:rPr>
      <w:t xml:space="preserve"> </w:t>
    </w:r>
    <w:r w:rsidR="001A4A03">
      <w:rPr>
        <w:szCs w:val="16"/>
      </w:rPr>
      <w:t>-</w:t>
    </w:r>
    <w:r w:rsidR="00A0189B">
      <w:rPr>
        <w:szCs w:val="16"/>
      </w:rPr>
      <w:t xml:space="preserve"> </w:t>
    </w:r>
    <w:r w:rsidR="00C14D46">
      <w:rPr>
        <w:szCs w:val="16"/>
      </w:rPr>
      <w:t>2024</w:t>
    </w:r>
    <w:r w:rsidR="00A0189B">
      <w:rPr>
        <w:szCs w:val="16"/>
      </w:rPr>
      <w:t xml:space="preserve"> Triennial</w:t>
    </w:r>
    <w:r>
      <w:rPr>
        <w:szCs w:val="16"/>
      </w:rPr>
      <w:t xml:space="preserve"> </w:t>
    </w:r>
    <w:r w:rsidR="001A4A03">
      <w:rPr>
        <w:szCs w:val="16"/>
      </w:rPr>
      <w:t>Code Cycle</w:t>
    </w:r>
    <w:r w:rsidR="001A4A03" w:rsidRPr="004C48A0">
      <w:rPr>
        <w:szCs w:val="16"/>
      </w:rPr>
      <w:tab/>
    </w:r>
    <w:r w:rsidR="00A0189B">
      <w:rPr>
        <w:szCs w:val="16"/>
      </w:rPr>
      <w:tab/>
    </w:r>
    <w:r w:rsidR="007763A4">
      <w:rPr>
        <w:szCs w:val="16"/>
      </w:rPr>
      <w:t xml:space="preserve">Additional 15-day </w:t>
    </w:r>
    <w:r w:rsidR="007763A4" w:rsidRPr="007763A4">
      <w:rPr>
        <w:szCs w:val="16"/>
      </w:rPr>
      <w:t>ET</w:t>
    </w:r>
  </w:p>
  <w:p w14:paraId="5C321276" w14:textId="4A335A34" w:rsidR="001A4A03" w:rsidRDefault="009919D6" w:rsidP="00A0189B">
    <w:pPr>
      <w:pStyle w:val="Footer"/>
      <w:tabs>
        <w:tab w:val="clear" w:pos="4320"/>
        <w:tab w:val="clear" w:pos="8640"/>
        <w:tab w:val="center" w:pos="5040"/>
        <w:tab w:val="right" w:pos="9180"/>
      </w:tabs>
    </w:pPr>
    <w:r>
      <w:rPr>
        <w:szCs w:val="16"/>
      </w:rPr>
      <w:t>California Building Standards Commission</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DD25" w14:textId="77777777" w:rsidR="00995899" w:rsidRDefault="00995899">
      <w:r>
        <w:separator/>
      </w:r>
    </w:p>
  </w:footnote>
  <w:footnote w:type="continuationSeparator" w:id="0">
    <w:p w14:paraId="05018B41" w14:textId="77777777" w:rsidR="00995899" w:rsidRDefault="009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568674">
    <w:abstractNumId w:val="11"/>
  </w:num>
  <w:num w:numId="2" w16cid:durableId="220866318">
    <w:abstractNumId w:val="13"/>
  </w:num>
  <w:num w:numId="3" w16cid:durableId="525170233">
    <w:abstractNumId w:val="14"/>
  </w:num>
  <w:num w:numId="4" w16cid:durableId="607003143">
    <w:abstractNumId w:val="10"/>
  </w:num>
  <w:num w:numId="5" w16cid:durableId="2106607952">
    <w:abstractNumId w:val="12"/>
  </w:num>
  <w:num w:numId="6" w16cid:durableId="2084569972">
    <w:abstractNumId w:val="15"/>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9A3"/>
    <w:rsid w:val="00023B9A"/>
    <w:rsid w:val="000257AD"/>
    <w:rsid w:val="00026382"/>
    <w:rsid w:val="00031BFD"/>
    <w:rsid w:val="00034D29"/>
    <w:rsid w:val="00040D18"/>
    <w:rsid w:val="000559DF"/>
    <w:rsid w:val="00074492"/>
    <w:rsid w:val="000825A5"/>
    <w:rsid w:val="00087113"/>
    <w:rsid w:val="000B33E0"/>
    <w:rsid w:val="000C5682"/>
    <w:rsid w:val="000C7383"/>
    <w:rsid w:val="000E24B4"/>
    <w:rsid w:val="000E25E2"/>
    <w:rsid w:val="000F2EEE"/>
    <w:rsid w:val="000F6D3A"/>
    <w:rsid w:val="00123E3A"/>
    <w:rsid w:val="00123F82"/>
    <w:rsid w:val="001362F4"/>
    <w:rsid w:val="00150039"/>
    <w:rsid w:val="001570A4"/>
    <w:rsid w:val="0017531B"/>
    <w:rsid w:val="00175449"/>
    <w:rsid w:val="00180509"/>
    <w:rsid w:val="0018148A"/>
    <w:rsid w:val="0018447D"/>
    <w:rsid w:val="001845B6"/>
    <w:rsid w:val="00184EB3"/>
    <w:rsid w:val="001A4A03"/>
    <w:rsid w:val="001B4A0D"/>
    <w:rsid w:val="001D5566"/>
    <w:rsid w:val="001D564F"/>
    <w:rsid w:val="001D6710"/>
    <w:rsid w:val="001E12EE"/>
    <w:rsid w:val="001E635B"/>
    <w:rsid w:val="001F3CA5"/>
    <w:rsid w:val="001F42E0"/>
    <w:rsid w:val="00211879"/>
    <w:rsid w:val="002167A0"/>
    <w:rsid w:val="002167C0"/>
    <w:rsid w:val="00224C9E"/>
    <w:rsid w:val="002346BC"/>
    <w:rsid w:val="00234A84"/>
    <w:rsid w:val="00235B37"/>
    <w:rsid w:val="002367DC"/>
    <w:rsid w:val="00255643"/>
    <w:rsid w:val="00264C5C"/>
    <w:rsid w:val="00266A00"/>
    <w:rsid w:val="00283A29"/>
    <w:rsid w:val="0028741A"/>
    <w:rsid w:val="0029531C"/>
    <w:rsid w:val="002A0905"/>
    <w:rsid w:val="002D3F86"/>
    <w:rsid w:val="002D5E4A"/>
    <w:rsid w:val="0030639B"/>
    <w:rsid w:val="00322C23"/>
    <w:rsid w:val="00327670"/>
    <w:rsid w:val="003324BE"/>
    <w:rsid w:val="00363272"/>
    <w:rsid w:val="0037506B"/>
    <w:rsid w:val="00391B17"/>
    <w:rsid w:val="003942B6"/>
    <w:rsid w:val="00394C7B"/>
    <w:rsid w:val="003970B0"/>
    <w:rsid w:val="003B05D4"/>
    <w:rsid w:val="003B6612"/>
    <w:rsid w:val="003C144A"/>
    <w:rsid w:val="003D46A3"/>
    <w:rsid w:val="003E1AB0"/>
    <w:rsid w:val="00425CBE"/>
    <w:rsid w:val="00425D56"/>
    <w:rsid w:val="00433E49"/>
    <w:rsid w:val="00442F20"/>
    <w:rsid w:val="0044593B"/>
    <w:rsid w:val="004804C9"/>
    <w:rsid w:val="004A4C3C"/>
    <w:rsid w:val="004A53C6"/>
    <w:rsid w:val="004B2AB9"/>
    <w:rsid w:val="004B48D5"/>
    <w:rsid w:val="004C48A0"/>
    <w:rsid w:val="004F3717"/>
    <w:rsid w:val="00504E72"/>
    <w:rsid w:val="00525507"/>
    <w:rsid w:val="00545780"/>
    <w:rsid w:val="00551A51"/>
    <w:rsid w:val="00561E38"/>
    <w:rsid w:val="00563190"/>
    <w:rsid w:val="00570DC7"/>
    <w:rsid w:val="00570DEF"/>
    <w:rsid w:val="005733D8"/>
    <w:rsid w:val="0058387B"/>
    <w:rsid w:val="00585231"/>
    <w:rsid w:val="005A10FB"/>
    <w:rsid w:val="005A4A4F"/>
    <w:rsid w:val="005B307F"/>
    <w:rsid w:val="005B5184"/>
    <w:rsid w:val="005B6472"/>
    <w:rsid w:val="005D1000"/>
    <w:rsid w:val="005D2DCC"/>
    <w:rsid w:val="005E162F"/>
    <w:rsid w:val="005E1E47"/>
    <w:rsid w:val="005F1F14"/>
    <w:rsid w:val="005F696F"/>
    <w:rsid w:val="0061175B"/>
    <w:rsid w:val="006169B9"/>
    <w:rsid w:val="00622E48"/>
    <w:rsid w:val="00631F79"/>
    <w:rsid w:val="006527FE"/>
    <w:rsid w:val="0065778E"/>
    <w:rsid w:val="0066283B"/>
    <w:rsid w:val="00666AD6"/>
    <w:rsid w:val="006721FC"/>
    <w:rsid w:val="00675E1D"/>
    <w:rsid w:val="00687A46"/>
    <w:rsid w:val="006B747C"/>
    <w:rsid w:val="006C1ED7"/>
    <w:rsid w:val="006E7720"/>
    <w:rsid w:val="00702E46"/>
    <w:rsid w:val="00723473"/>
    <w:rsid w:val="0072456B"/>
    <w:rsid w:val="0074120E"/>
    <w:rsid w:val="007615D1"/>
    <w:rsid w:val="00767766"/>
    <w:rsid w:val="00774D38"/>
    <w:rsid w:val="007763A4"/>
    <w:rsid w:val="00776FA8"/>
    <w:rsid w:val="007802EB"/>
    <w:rsid w:val="00786248"/>
    <w:rsid w:val="007915D5"/>
    <w:rsid w:val="007A0491"/>
    <w:rsid w:val="007A3C85"/>
    <w:rsid w:val="007A674B"/>
    <w:rsid w:val="007A7932"/>
    <w:rsid w:val="007B0774"/>
    <w:rsid w:val="007B09AD"/>
    <w:rsid w:val="007B55D6"/>
    <w:rsid w:val="007C04EF"/>
    <w:rsid w:val="007C4832"/>
    <w:rsid w:val="007C5498"/>
    <w:rsid w:val="007D486E"/>
    <w:rsid w:val="007E5F01"/>
    <w:rsid w:val="007E6A6C"/>
    <w:rsid w:val="007F011F"/>
    <w:rsid w:val="0081299A"/>
    <w:rsid w:val="008238AA"/>
    <w:rsid w:val="00824D5C"/>
    <w:rsid w:val="008358F3"/>
    <w:rsid w:val="00862625"/>
    <w:rsid w:val="008644EE"/>
    <w:rsid w:val="008651FB"/>
    <w:rsid w:val="00874876"/>
    <w:rsid w:val="008A2AC5"/>
    <w:rsid w:val="008A3DD5"/>
    <w:rsid w:val="008A63C7"/>
    <w:rsid w:val="008C1B48"/>
    <w:rsid w:val="008C5442"/>
    <w:rsid w:val="008D1BB8"/>
    <w:rsid w:val="008E206B"/>
    <w:rsid w:val="008E36A8"/>
    <w:rsid w:val="008F237C"/>
    <w:rsid w:val="009023D8"/>
    <w:rsid w:val="009028B5"/>
    <w:rsid w:val="009057EB"/>
    <w:rsid w:val="00923E68"/>
    <w:rsid w:val="00924B3A"/>
    <w:rsid w:val="00926738"/>
    <w:rsid w:val="0092735E"/>
    <w:rsid w:val="00933897"/>
    <w:rsid w:val="009462E9"/>
    <w:rsid w:val="009919D6"/>
    <w:rsid w:val="00995899"/>
    <w:rsid w:val="009A693A"/>
    <w:rsid w:val="009C259E"/>
    <w:rsid w:val="009D096D"/>
    <w:rsid w:val="009D10AD"/>
    <w:rsid w:val="009E0E79"/>
    <w:rsid w:val="009E6B12"/>
    <w:rsid w:val="009E79DA"/>
    <w:rsid w:val="00A0189B"/>
    <w:rsid w:val="00A07EE6"/>
    <w:rsid w:val="00A138AA"/>
    <w:rsid w:val="00A60CA1"/>
    <w:rsid w:val="00A63EF9"/>
    <w:rsid w:val="00A813A1"/>
    <w:rsid w:val="00AC1F10"/>
    <w:rsid w:val="00AC4F20"/>
    <w:rsid w:val="00AD7782"/>
    <w:rsid w:val="00AF4D10"/>
    <w:rsid w:val="00AF4E96"/>
    <w:rsid w:val="00B12576"/>
    <w:rsid w:val="00B3563A"/>
    <w:rsid w:val="00B435D5"/>
    <w:rsid w:val="00B53C67"/>
    <w:rsid w:val="00B77924"/>
    <w:rsid w:val="00B96810"/>
    <w:rsid w:val="00BC1BF8"/>
    <w:rsid w:val="00BC6E2F"/>
    <w:rsid w:val="00BD6771"/>
    <w:rsid w:val="00BF3E81"/>
    <w:rsid w:val="00C14D46"/>
    <w:rsid w:val="00C1688A"/>
    <w:rsid w:val="00C2433C"/>
    <w:rsid w:val="00C265CB"/>
    <w:rsid w:val="00C34980"/>
    <w:rsid w:val="00C36475"/>
    <w:rsid w:val="00C376DA"/>
    <w:rsid w:val="00C44C36"/>
    <w:rsid w:val="00C55B9A"/>
    <w:rsid w:val="00C57496"/>
    <w:rsid w:val="00C61163"/>
    <w:rsid w:val="00C6643B"/>
    <w:rsid w:val="00C67B72"/>
    <w:rsid w:val="00C73743"/>
    <w:rsid w:val="00C805C3"/>
    <w:rsid w:val="00C9126A"/>
    <w:rsid w:val="00C9472F"/>
    <w:rsid w:val="00CB69CE"/>
    <w:rsid w:val="00CC243B"/>
    <w:rsid w:val="00CC65A6"/>
    <w:rsid w:val="00CD0918"/>
    <w:rsid w:val="00CE366D"/>
    <w:rsid w:val="00CF0CBD"/>
    <w:rsid w:val="00CF2161"/>
    <w:rsid w:val="00CF3372"/>
    <w:rsid w:val="00D006C5"/>
    <w:rsid w:val="00D04B58"/>
    <w:rsid w:val="00D13D82"/>
    <w:rsid w:val="00D15F76"/>
    <w:rsid w:val="00D17654"/>
    <w:rsid w:val="00D248F4"/>
    <w:rsid w:val="00D30882"/>
    <w:rsid w:val="00D33E97"/>
    <w:rsid w:val="00D41BB2"/>
    <w:rsid w:val="00D47495"/>
    <w:rsid w:val="00D6033C"/>
    <w:rsid w:val="00D63724"/>
    <w:rsid w:val="00D64614"/>
    <w:rsid w:val="00D67CC8"/>
    <w:rsid w:val="00D71D30"/>
    <w:rsid w:val="00D74070"/>
    <w:rsid w:val="00D7696B"/>
    <w:rsid w:val="00D83D74"/>
    <w:rsid w:val="00D84DDA"/>
    <w:rsid w:val="00D87437"/>
    <w:rsid w:val="00D91AE2"/>
    <w:rsid w:val="00D9571E"/>
    <w:rsid w:val="00DA0A0D"/>
    <w:rsid w:val="00DB2E73"/>
    <w:rsid w:val="00DB62BC"/>
    <w:rsid w:val="00DD1947"/>
    <w:rsid w:val="00DE3186"/>
    <w:rsid w:val="00DE5058"/>
    <w:rsid w:val="00E016BA"/>
    <w:rsid w:val="00E11D01"/>
    <w:rsid w:val="00E1728F"/>
    <w:rsid w:val="00E22041"/>
    <w:rsid w:val="00E3628E"/>
    <w:rsid w:val="00E3790F"/>
    <w:rsid w:val="00E45D23"/>
    <w:rsid w:val="00E465B9"/>
    <w:rsid w:val="00E5214A"/>
    <w:rsid w:val="00E53D35"/>
    <w:rsid w:val="00E812D1"/>
    <w:rsid w:val="00EA1267"/>
    <w:rsid w:val="00EA55B4"/>
    <w:rsid w:val="00EB62C1"/>
    <w:rsid w:val="00EC0A76"/>
    <w:rsid w:val="00EC1406"/>
    <w:rsid w:val="00ED27E1"/>
    <w:rsid w:val="00ED5926"/>
    <w:rsid w:val="00EF0B0E"/>
    <w:rsid w:val="00EF26E2"/>
    <w:rsid w:val="00F03A11"/>
    <w:rsid w:val="00F04F22"/>
    <w:rsid w:val="00F1123B"/>
    <w:rsid w:val="00F152F2"/>
    <w:rsid w:val="00F17139"/>
    <w:rsid w:val="00F17C0C"/>
    <w:rsid w:val="00F22CD9"/>
    <w:rsid w:val="00F23DAE"/>
    <w:rsid w:val="00F549DA"/>
    <w:rsid w:val="00F57DC0"/>
    <w:rsid w:val="00F62CFD"/>
    <w:rsid w:val="00F63D01"/>
    <w:rsid w:val="00F768B4"/>
    <w:rsid w:val="00F8791A"/>
    <w:rsid w:val="00F87B9E"/>
    <w:rsid w:val="00F97C83"/>
    <w:rsid w:val="00FB1690"/>
    <w:rsid w:val="00FB18F4"/>
    <w:rsid w:val="00FB34BE"/>
    <w:rsid w:val="00FC0232"/>
    <w:rsid w:val="00FD45EA"/>
    <w:rsid w:val="00FF11EA"/>
    <w:rsid w:val="00FF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8E206B"/>
    <w:pPr>
      <w:keepNext/>
      <w:keepLines/>
      <w:snapToGrid w:val="0"/>
      <w:spacing w:before="2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8651FB"/>
    <w:pPr>
      <w:tabs>
        <w:tab w:val="center" w:pos="4320"/>
        <w:tab w:val="right" w:pos="8640"/>
      </w:tabs>
    </w:pPr>
    <w:rPr>
      <w:rFonts w:ascii="Arial Narrow" w:hAnsi="Arial Narrow"/>
      <w:b/>
      <w:caps/>
      <w:sz w:val="16"/>
    </w:rPr>
  </w:style>
  <w:style w:type="paragraph" w:styleId="Footer">
    <w:name w:val="footer"/>
    <w:basedOn w:val="Normal"/>
    <w:link w:val="FooterChar"/>
    <w:qFormat/>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iPriority w:val="99"/>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8E206B"/>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7234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234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2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2126</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BSC 03-24-ET-PT11-15day</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03-24-ET-PT11-15day</dc:title>
  <dc:creator>CBSC</dc:creator>
  <cp:lastModifiedBy>Hagler, Carol@DGS</cp:lastModifiedBy>
  <cp:revision>13</cp:revision>
  <cp:lastPrinted>2020-05-13T17:58:00Z</cp:lastPrinted>
  <dcterms:created xsi:type="dcterms:W3CDTF">2024-07-25T22:53:00Z</dcterms:created>
  <dcterms:modified xsi:type="dcterms:W3CDTF">2024-07-26T18:44:00Z</dcterms:modified>
</cp:coreProperties>
</file>